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07" w:rsidRDefault="000A2184" w:rsidP="00263C7E">
      <w:pPr>
        <w:pStyle w:val="s5"/>
        <w:spacing w:before="0" w:beforeAutospacing="0" w:after="0" w:afterAutospacing="0"/>
        <w:jc w:val="center"/>
        <w:rPr>
          <w:rStyle w:val="s8"/>
          <w:b/>
          <w:bCs/>
          <w:lang w:val="en-US"/>
        </w:rPr>
      </w:pPr>
      <w:r>
        <w:rPr>
          <w:b/>
          <w:bCs/>
          <w:noProof/>
        </w:rPr>
        <w:drawing>
          <wp:inline distT="0" distB="0" distL="0" distR="0">
            <wp:extent cx="3028950" cy="704850"/>
            <wp:effectExtent l="19050" t="0" r="0" b="0"/>
            <wp:docPr id="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7" cstate="print"/>
                    <a:srcRect/>
                    <a:stretch>
                      <a:fillRect/>
                    </a:stretch>
                  </pic:blipFill>
                  <pic:spPr bwMode="auto">
                    <a:xfrm>
                      <a:off x="0" y="0"/>
                      <a:ext cx="3028950" cy="704850"/>
                    </a:xfrm>
                    <a:prstGeom prst="rect">
                      <a:avLst/>
                    </a:prstGeom>
                    <a:noFill/>
                    <a:ln w="9525">
                      <a:noFill/>
                      <a:miter lim="800000"/>
                      <a:headEnd/>
                      <a:tailEnd/>
                    </a:ln>
                  </pic:spPr>
                </pic:pic>
              </a:graphicData>
            </a:graphic>
          </wp:inline>
        </w:drawing>
      </w:r>
    </w:p>
    <w:p w:rsidR="004B1639" w:rsidRDefault="004B1639" w:rsidP="004B1639">
      <w:pPr>
        <w:pStyle w:val="s4"/>
        <w:spacing w:before="0" w:beforeAutospacing="0" w:after="0" w:afterAutospacing="0"/>
        <w:rPr>
          <w:rStyle w:val="s3"/>
          <w:b/>
          <w:bCs/>
        </w:rPr>
      </w:pPr>
    </w:p>
    <w:p w:rsidR="004B158C" w:rsidRPr="004B158C" w:rsidRDefault="004B158C" w:rsidP="004B158C">
      <w:pPr>
        <w:spacing w:after="0" w:line="360" w:lineRule="auto"/>
        <w:jc w:val="both"/>
        <w:rPr>
          <w:rFonts w:ascii="Times New Roman" w:hAnsi="Times New Roman" w:cs="Times New Roman"/>
          <w:b/>
          <w:sz w:val="24"/>
          <w:szCs w:val="24"/>
        </w:rPr>
      </w:pPr>
    </w:p>
    <w:p w:rsidR="00E64512" w:rsidRPr="002A7A89" w:rsidRDefault="00E64512" w:rsidP="00E64512">
      <w:pPr>
        <w:pStyle w:val="ae"/>
        <w:ind w:left="4320" w:firstLine="720"/>
        <w:jc w:val="center"/>
        <w:rPr>
          <w:rFonts w:ascii="Times New Roman" w:hAnsi="Times New Roman"/>
          <w:sz w:val="25"/>
          <w:szCs w:val="25"/>
        </w:rPr>
      </w:pPr>
      <w:r w:rsidRPr="002A7A89">
        <w:rPr>
          <w:rFonts w:ascii="Times New Roman" w:hAnsi="Times New Roman"/>
          <w:sz w:val="25"/>
          <w:szCs w:val="25"/>
        </w:rPr>
        <w:t>Αθήνα, 27 Ιανουαρίου  2015</w:t>
      </w:r>
    </w:p>
    <w:p w:rsidR="00E64512" w:rsidRPr="002A7A89" w:rsidRDefault="00E64512" w:rsidP="00E64512">
      <w:pPr>
        <w:pStyle w:val="ae"/>
        <w:jc w:val="center"/>
        <w:rPr>
          <w:rFonts w:ascii="Times New Roman" w:hAnsi="Times New Roman"/>
          <w:sz w:val="25"/>
          <w:szCs w:val="25"/>
        </w:rPr>
      </w:pPr>
    </w:p>
    <w:p w:rsidR="00E64512" w:rsidRPr="00E64512" w:rsidRDefault="00E64512" w:rsidP="00E64512">
      <w:pPr>
        <w:pStyle w:val="ae"/>
        <w:jc w:val="center"/>
        <w:rPr>
          <w:rFonts w:ascii="Times New Roman" w:hAnsi="Times New Roman"/>
          <w:sz w:val="25"/>
          <w:szCs w:val="25"/>
          <w:u w:val="single"/>
        </w:rPr>
      </w:pPr>
      <w:r w:rsidRPr="002A7A89">
        <w:rPr>
          <w:rFonts w:ascii="Times New Roman" w:hAnsi="Times New Roman"/>
          <w:sz w:val="25"/>
          <w:szCs w:val="25"/>
          <w:u w:val="single"/>
        </w:rPr>
        <w:t xml:space="preserve">ΔΕΛΤΙΟ ΤΥΠΟΥ </w:t>
      </w:r>
    </w:p>
    <w:p w:rsidR="00E64512" w:rsidRPr="00E64512" w:rsidRDefault="00E64512" w:rsidP="00E64512">
      <w:pPr>
        <w:pStyle w:val="ae"/>
        <w:jc w:val="center"/>
        <w:rPr>
          <w:rFonts w:ascii="Times New Roman" w:hAnsi="Times New Roman"/>
          <w:b/>
          <w:sz w:val="25"/>
          <w:szCs w:val="25"/>
        </w:rPr>
      </w:pPr>
    </w:p>
    <w:p w:rsidR="00E64512" w:rsidRPr="002A7A89" w:rsidRDefault="00E64512" w:rsidP="00E64512">
      <w:pPr>
        <w:spacing w:after="0"/>
        <w:jc w:val="center"/>
        <w:rPr>
          <w:rFonts w:ascii="Times New Roman" w:hAnsi="Times New Roman" w:cs="Times New Roman"/>
          <w:sz w:val="25"/>
          <w:szCs w:val="25"/>
        </w:rPr>
      </w:pPr>
      <w:r w:rsidRPr="002A7A89">
        <w:rPr>
          <w:rFonts w:ascii="Times New Roman" w:hAnsi="Times New Roman" w:cs="Times New Roman"/>
          <w:b/>
          <w:bCs/>
          <w:sz w:val="25"/>
          <w:szCs w:val="25"/>
        </w:rPr>
        <w:t>«Εμπορικό κενό στην αγορά, με τρύπα περίπου 1 δις ευρώ στο τζίρο των χειμερινών εκπτώσεων εκτιμά η ΕΣΕΕ»</w:t>
      </w:r>
    </w:p>
    <w:p w:rsidR="00E64512" w:rsidRPr="002A7A89" w:rsidRDefault="00E64512" w:rsidP="00E64512">
      <w:pPr>
        <w:spacing w:after="0"/>
        <w:rPr>
          <w:rFonts w:ascii="Times New Roman" w:hAnsi="Times New Roman" w:cs="Times New Roman"/>
          <w:sz w:val="25"/>
          <w:szCs w:val="25"/>
        </w:rPr>
      </w:pPr>
      <w:r w:rsidRPr="002A7A89">
        <w:rPr>
          <w:rFonts w:ascii="Times New Roman" w:hAnsi="Times New Roman" w:cs="Times New Roman"/>
          <w:sz w:val="25"/>
          <w:szCs w:val="25"/>
        </w:rPr>
        <w:t> </w:t>
      </w:r>
    </w:p>
    <w:p w:rsidR="00E64512" w:rsidRPr="002A7A89" w:rsidRDefault="00E64512" w:rsidP="00E64512">
      <w:pPr>
        <w:spacing w:before="12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Οι έμποροι της λιανικής είχαν ως στόχο κατά τη διάρκεια των χειμερινών εκπτώσεων να πλησιάσουν τα επίπεδα του περυσινού τζίρου, χωρίς όμως αποτέλεσμα, αφού </w:t>
      </w:r>
      <w:proofErr w:type="spellStart"/>
      <w:r w:rsidRPr="002A7A89">
        <w:rPr>
          <w:rFonts w:ascii="Times New Roman" w:hAnsi="Times New Roman" w:cs="Times New Roman"/>
          <w:sz w:val="25"/>
          <w:szCs w:val="25"/>
        </w:rPr>
        <w:t>μεσοσταθμικά</w:t>
      </w:r>
      <w:proofErr w:type="spellEnd"/>
      <w:r w:rsidRPr="002A7A89">
        <w:rPr>
          <w:rFonts w:ascii="Times New Roman" w:hAnsi="Times New Roman" w:cs="Times New Roman"/>
          <w:sz w:val="25"/>
          <w:szCs w:val="25"/>
        </w:rPr>
        <w:t xml:space="preserve"> η μείωση κυμάνθηκε στο </w:t>
      </w:r>
      <w:r w:rsidRPr="00BA42F4">
        <w:rPr>
          <w:rFonts w:ascii="Times New Roman" w:hAnsi="Times New Roman" w:cs="Times New Roman"/>
          <w:b/>
          <w:sz w:val="25"/>
          <w:szCs w:val="25"/>
        </w:rPr>
        <w:t>-17,3%,</w:t>
      </w:r>
      <w:r w:rsidRPr="002A7A89">
        <w:rPr>
          <w:rFonts w:ascii="Times New Roman" w:hAnsi="Times New Roman" w:cs="Times New Roman"/>
          <w:sz w:val="25"/>
          <w:szCs w:val="25"/>
        </w:rPr>
        <w:t xml:space="preserve"> επαναφέροντας την αγοραστική κίνηση σε φθίνουσα πορεία και το ποσοστό της πτώσης του κύκλου εργασιών του πρώτου διμήνου του 2015, στα επίπεδα της μεταβολής μεταξύ των ετών 2011/201</w:t>
      </w:r>
      <w:r w:rsidR="00800ABC" w:rsidRPr="00800ABC">
        <w:rPr>
          <w:rFonts w:ascii="Times New Roman" w:hAnsi="Times New Roman" w:cs="Times New Roman"/>
          <w:sz w:val="25"/>
          <w:szCs w:val="25"/>
        </w:rPr>
        <w:t>0</w:t>
      </w:r>
      <w:r w:rsidRPr="002A7A89">
        <w:rPr>
          <w:rFonts w:ascii="Times New Roman" w:hAnsi="Times New Roman" w:cs="Times New Roman"/>
          <w:sz w:val="25"/>
          <w:szCs w:val="25"/>
        </w:rPr>
        <w:t xml:space="preserve"> (-17,64%).</w:t>
      </w:r>
    </w:p>
    <w:p w:rsidR="00E64512" w:rsidRPr="002A7A89" w:rsidRDefault="00E64512" w:rsidP="00E64512">
      <w:pPr>
        <w:spacing w:before="12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Τα αποτελέσματα της έρευνας που πραγματοποιεί κάθε χρόνο το ΙΝΕΜΥ της ΕΣΕΕ σε συνεργασία με τους Εμπορικούς Συλλόγους, καθώς και με στοιχεία από μικρομεσαίες και μεγαλύτερες εμπορικές επιχειρήσεις από όλη τη χώρα, δεν επιτρέπουν να δημιουργούνται ψευδαισθήσεις για τη</w:t>
      </w:r>
      <w:r>
        <w:rPr>
          <w:rFonts w:ascii="Times New Roman" w:hAnsi="Times New Roman"/>
          <w:sz w:val="25"/>
          <w:szCs w:val="25"/>
        </w:rPr>
        <w:t>ν</w:t>
      </w:r>
      <w:r w:rsidRPr="002A7A89">
        <w:rPr>
          <w:rFonts w:ascii="Times New Roman" w:hAnsi="Times New Roman" w:cs="Times New Roman"/>
          <w:sz w:val="25"/>
          <w:szCs w:val="25"/>
        </w:rPr>
        <w:t xml:space="preserve"> πραγματικά επικρατούσα κατάσταση της ελληνικής αγοράς.  </w:t>
      </w:r>
    </w:p>
    <w:p w:rsidR="00E64512" w:rsidRPr="002A7A89" w:rsidRDefault="00E64512" w:rsidP="00E64512">
      <w:pPr>
        <w:spacing w:before="12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xml:space="preserve">Η </w:t>
      </w:r>
      <w:proofErr w:type="spellStart"/>
      <w:r w:rsidRPr="002A7A89">
        <w:rPr>
          <w:rFonts w:ascii="Times New Roman" w:hAnsi="Times New Roman" w:cs="Times New Roman"/>
          <w:sz w:val="25"/>
          <w:szCs w:val="25"/>
        </w:rPr>
        <w:t>μεσοσταθμική</w:t>
      </w:r>
      <w:proofErr w:type="spellEnd"/>
      <w:r w:rsidRPr="002A7A89">
        <w:rPr>
          <w:rFonts w:ascii="Times New Roman" w:hAnsi="Times New Roman" w:cs="Times New Roman"/>
          <w:sz w:val="25"/>
          <w:szCs w:val="25"/>
        </w:rPr>
        <w:t xml:space="preserve"> μείωση της αγοραστικής κίνησης το 2015 σε σχέση με τις χειμερινές εκπτώσεις του 2014 (Ιανουάριος-Φεβρουάριος 2014: τζίρος σε απόλυτα νούμερα </w:t>
      </w:r>
      <w:r w:rsidRPr="002A7A89">
        <w:rPr>
          <w:rStyle w:val="s8"/>
          <w:rFonts w:ascii="Times New Roman" w:hAnsi="Times New Roman" w:cs="Times New Roman"/>
          <w:b/>
          <w:bCs/>
          <w:sz w:val="25"/>
          <w:szCs w:val="25"/>
        </w:rPr>
        <w:t>5,37 δις ευρώ </w:t>
      </w:r>
      <w:r w:rsidRPr="002A7A89">
        <w:rPr>
          <w:rFonts w:ascii="Times New Roman" w:hAnsi="Times New Roman" w:cs="Times New Roman"/>
          <w:sz w:val="25"/>
          <w:szCs w:val="25"/>
        </w:rPr>
        <w:t>και </w:t>
      </w:r>
      <w:r w:rsidRPr="002A7A89">
        <w:rPr>
          <w:rStyle w:val="s8"/>
          <w:rFonts w:ascii="Times New Roman" w:hAnsi="Times New Roman" w:cs="Times New Roman"/>
          <w:b/>
          <w:bCs/>
          <w:sz w:val="25"/>
          <w:szCs w:val="25"/>
        </w:rPr>
        <w:t>μείωση</w:t>
      </w:r>
      <w:r w:rsidRPr="002A7A89">
        <w:rPr>
          <w:rFonts w:ascii="Times New Roman" w:hAnsi="Times New Roman" w:cs="Times New Roman"/>
          <w:sz w:val="25"/>
          <w:szCs w:val="25"/>
        </w:rPr>
        <w:t xml:space="preserve"> -2,37% σε σχέση με την αντίστοιχη περίοδο του 2013), κυμαίνεται στα επίπεδα του </w:t>
      </w:r>
      <w:r w:rsidRPr="00BA42F4">
        <w:rPr>
          <w:rFonts w:ascii="Times New Roman" w:hAnsi="Times New Roman" w:cs="Times New Roman"/>
          <w:b/>
          <w:sz w:val="25"/>
          <w:szCs w:val="25"/>
        </w:rPr>
        <w:t>-17,3%,</w:t>
      </w:r>
      <w:r w:rsidRPr="002A7A89">
        <w:rPr>
          <w:rFonts w:ascii="Times New Roman" w:hAnsi="Times New Roman" w:cs="Times New Roman"/>
          <w:sz w:val="25"/>
          <w:szCs w:val="25"/>
        </w:rPr>
        <w:t> ενώ θα πρέπει να σημειωθεί πως ο εκτιμώμενος τζίρος για τη χειμερινή εκπτωτική περίοδο θα διαμορφωθεί το 2015 περίπου στα 4,4</w:t>
      </w:r>
      <w:r w:rsidR="00C11279" w:rsidRPr="00C11279">
        <w:rPr>
          <w:rFonts w:ascii="Times New Roman" w:hAnsi="Times New Roman" w:cs="Times New Roman"/>
          <w:sz w:val="25"/>
          <w:szCs w:val="25"/>
        </w:rPr>
        <w:t>4</w:t>
      </w:r>
      <w:r w:rsidRPr="002A7A89">
        <w:rPr>
          <w:rFonts w:ascii="Times New Roman" w:hAnsi="Times New Roman" w:cs="Times New Roman"/>
          <w:sz w:val="25"/>
          <w:szCs w:val="25"/>
        </w:rPr>
        <w:t xml:space="preserve"> δις ευρώ, </w:t>
      </w:r>
      <w:r w:rsidRPr="002A7A89">
        <w:rPr>
          <w:rStyle w:val="s8"/>
          <w:rFonts w:ascii="Times New Roman" w:hAnsi="Times New Roman" w:cs="Times New Roman"/>
          <w:b/>
          <w:bCs/>
          <w:sz w:val="25"/>
          <w:szCs w:val="25"/>
        </w:rPr>
        <w:t>καταγράφοντας απώλειες </w:t>
      </w:r>
      <w:r w:rsidRPr="002A7A89">
        <w:rPr>
          <w:rFonts w:ascii="Times New Roman" w:hAnsi="Times New Roman" w:cs="Times New Roman"/>
          <w:b/>
          <w:bCs/>
          <w:sz w:val="25"/>
          <w:szCs w:val="25"/>
        </w:rPr>
        <w:t>930 εκ. ευρώ</w:t>
      </w:r>
      <w:r w:rsidRPr="002A7A89">
        <w:rPr>
          <w:rFonts w:ascii="Times New Roman" w:hAnsi="Times New Roman" w:cs="Times New Roman"/>
          <w:sz w:val="25"/>
          <w:szCs w:val="25"/>
        </w:rPr>
        <w:t> (μείωση -17,3% σε σχέση με τις Χειμερινές Εκπτώσεις του 2014). </w:t>
      </w:r>
    </w:p>
    <w:p w:rsidR="00E64512" w:rsidRPr="002A7A89" w:rsidRDefault="00E64512" w:rsidP="00E64512">
      <w:pPr>
        <w:spacing w:before="12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xml:space="preserve">Πιο αναλυτικά, η συντριπτική πλειοψηφία των ερωτώμενων (70%) δηλώνει ότι οι πωλήσεις ήταν συρρικνωμένες σε σύγκριση με την αντίστοιχη περίοδο του 2014, ενώ </w:t>
      </w:r>
      <w:r w:rsidRPr="00E03764">
        <w:rPr>
          <w:rFonts w:ascii="Times New Roman" w:hAnsi="Times New Roman" w:cs="Times New Roman"/>
          <w:b/>
          <w:sz w:val="25"/>
          <w:szCs w:val="25"/>
        </w:rPr>
        <w:t xml:space="preserve">δύο </w:t>
      </w:r>
      <w:r w:rsidRPr="002A7A89">
        <w:rPr>
          <w:rFonts w:ascii="Times New Roman" w:hAnsi="Times New Roman" w:cs="Times New Roman"/>
          <w:sz w:val="25"/>
          <w:szCs w:val="25"/>
        </w:rPr>
        <w:t xml:space="preserve">στους </w:t>
      </w:r>
      <w:r w:rsidRPr="00E03764">
        <w:rPr>
          <w:rFonts w:ascii="Times New Roman" w:hAnsi="Times New Roman" w:cs="Times New Roman"/>
          <w:b/>
          <w:sz w:val="25"/>
          <w:szCs w:val="25"/>
        </w:rPr>
        <w:t>δέκα</w:t>
      </w:r>
      <w:r w:rsidRPr="002A7A89">
        <w:rPr>
          <w:rFonts w:ascii="Times New Roman" w:hAnsi="Times New Roman" w:cs="Times New Roman"/>
          <w:sz w:val="25"/>
          <w:szCs w:val="25"/>
        </w:rPr>
        <w:t xml:space="preserve"> </w:t>
      </w:r>
      <w:r w:rsidRPr="00BB1E08">
        <w:rPr>
          <w:rFonts w:ascii="Times New Roman" w:hAnsi="Times New Roman" w:cs="Times New Roman"/>
          <w:b/>
          <w:sz w:val="25"/>
          <w:szCs w:val="25"/>
        </w:rPr>
        <w:t>(22%)</w:t>
      </w:r>
      <w:r w:rsidRPr="002A7A89">
        <w:rPr>
          <w:rFonts w:ascii="Times New Roman" w:hAnsi="Times New Roman" w:cs="Times New Roman"/>
          <w:sz w:val="25"/>
          <w:szCs w:val="25"/>
        </w:rPr>
        <w:t xml:space="preserve"> </w:t>
      </w:r>
      <w:r>
        <w:rPr>
          <w:rFonts w:ascii="Times New Roman" w:hAnsi="Times New Roman"/>
          <w:sz w:val="25"/>
          <w:szCs w:val="25"/>
        </w:rPr>
        <w:t>ό</w:t>
      </w:r>
      <w:r w:rsidRPr="002A7A89">
        <w:rPr>
          <w:rFonts w:ascii="Times New Roman" w:hAnsi="Times New Roman" w:cs="Times New Roman"/>
          <w:sz w:val="25"/>
          <w:szCs w:val="25"/>
        </w:rPr>
        <w:t xml:space="preserve">τι κινήθηκαν στα ίδια επίπεδα και μετά βίας </w:t>
      </w:r>
      <w:r w:rsidRPr="00E03764">
        <w:rPr>
          <w:rFonts w:ascii="Times New Roman" w:hAnsi="Times New Roman" w:cs="Times New Roman"/>
          <w:b/>
          <w:sz w:val="25"/>
          <w:szCs w:val="25"/>
        </w:rPr>
        <w:t xml:space="preserve">ένας </w:t>
      </w:r>
      <w:r w:rsidRPr="002A7A89">
        <w:rPr>
          <w:rFonts w:ascii="Times New Roman" w:hAnsi="Times New Roman" w:cs="Times New Roman"/>
          <w:sz w:val="25"/>
          <w:szCs w:val="25"/>
        </w:rPr>
        <w:t xml:space="preserve">στους </w:t>
      </w:r>
      <w:r w:rsidRPr="00E03764">
        <w:rPr>
          <w:rFonts w:ascii="Times New Roman" w:hAnsi="Times New Roman" w:cs="Times New Roman"/>
          <w:b/>
          <w:sz w:val="25"/>
          <w:szCs w:val="25"/>
        </w:rPr>
        <w:t>δέκα</w:t>
      </w:r>
      <w:r w:rsidRPr="002A7A89">
        <w:rPr>
          <w:rFonts w:ascii="Times New Roman" w:hAnsi="Times New Roman" w:cs="Times New Roman"/>
          <w:sz w:val="25"/>
          <w:szCs w:val="25"/>
        </w:rPr>
        <w:t xml:space="preserve"> </w:t>
      </w:r>
      <w:r w:rsidRPr="00BB1E08">
        <w:rPr>
          <w:rFonts w:ascii="Times New Roman" w:hAnsi="Times New Roman" w:cs="Times New Roman"/>
          <w:b/>
          <w:sz w:val="25"/>
          <w:szCs w:val="25"/>
        </w:rPr>
        <w:t>(8%)</w:t>
      </w:r>
      <w:r w:rsidRPr="002A7A89">
        <w:rPr>
          <w:rFonts w:ascii="Times New Roman" w:hAnsi="Times New Roman" w:cs="Times New Roman"/>
          <w:sz w:val="25"/>
          <w:szCs w:val="25"/>
        </w:rPr>
        <w:t xml:space="preserve"> λίγο καλύτερα από πέρυσι. Όσον αφορά στο εύρος της μειούμενης εμπορικής κίνησης οι απαντήσεις ποικίλουν, καθώς το 23%</w:t>
      </w:r>
      <w:r w:rsidRPr="002A7A89">
        <w:rPr>
          <w:rStyle w:val="s8"/>
          <w:rFonts w:ascii="Times New Roman" w:hAnsi="Times New Roman" w:cs="Times New Roman"/>
          <w:b/>
          <w:bCs/>
          <w:sz w:val="25"/>
          <w:szCs w:val="25"/>
        </w:rPr>
        <w:t> </w:t>
      </w:r>
      <w:r w:rsidRPr="002A7A89">
        <w:rPr>
          <w:rFonts w:ascii="Times New Roman" w:hAnsi="Times New Roman" w:cs="Times New Roman"/>
          <w:sz w:val="25"/>
          <w:szCs w:val="25"/>
        </w:rPr>
        <w:t xml:space="preserve">δηλώνει πτώση της τάξης του 11 – 20%, άλλο ένα 23% μείωση πωλήσεων 21% - 30% και μόνο το 10% πτώση της τάξης του 0-10%. </w:t>
      </w:r>
      <w:r w:rsidRPr="006D319D">
        <w:rPr>
          <w:rFonts w:ascii="Times New Roman" w:hAnsi="Times New Roman"/>
          <w:b/>
          <w:sz w:val="25"/>
          <w:szCs w:val="25"/>
        </w:rPr>
        <w:t>Έ</w:t>
      </w:r>
      <w:r w:rsidRPr="006D319D">
        <w:rPr>
          <w:rFonts w:ascii="Times New Roman" w:hAnsi="Times New Roman" w:cs="Times New Roman"/>
          <w:b/>
          <w:sz w:val="25"/>
          <w:szCs w:val="25"/>
        </w:rPr>
        <w:t>νας</w:t>
      </w:r>
      <w:r w:rsidRPr="002A7A89">
        <w:rPr>
          <w:rFonts w:ascii="Times New Roman" w:hAnsi="Times New Roman" w:cs="Times New Roman"/>
          <w:sz w:val="25"/>
          <w:szCs w:val="25"/>
        </w:rPr>
        <w:t xml:space="preserve"> στους </w:t>
      </w:r>
      <w:r w:rsidRPr="006D319D">
        <w:rPr>
          <w:rFonts w:ascii="Times New Roman" w:hAnsi="Times New Roman" w:cs="Times New Roman"/>
          <w:b/>
          <w:sz w:val="25"/>
          <w:szCs w:val="25"/>
        </w:rPr>
        <w:t>πέντε</w:t>
      </w:r>
      <w:r w:rsidRPr="002A7A89">
        <w:rPr>
          <w:rFonts w:ascii="Times New Roman" w:hAnsi="Times New Roman" w:cs="Times New Roman"/>
          <w:sz w:val="25"/>
          <w:szCs w:val="25"/>
        </w:rPr>
        <w:t xml:space="preserve"> </w:t>
      </w:r>
      <w:r w:rsidRPr="00BA42F4">
        <w:rPr>
          <w:rFonts w:ascii="Times New Roman" w:hAnsi="Times New Roman" w:cs="Times New Roman"/>
          <w:b/>
          <w:sz w:val="25"/>
          <w:szCs w:val="25"/>
        </w:rPr>
        <w:t>(20%)</w:t>
      </w:r>
      <w:r w:rsidRPr="002A7A89">
        <w:rPr>
          <w:rFonts w:ascii="Times New Roman" w:hAnsi="Times New Roman" w:cs="Times New Roman"/>
          <w:sz w:val="25"/>
          <w:szCs w:val="25"/>
        </w:rPr>
        <w:t xml:space="preserve"> δηλώνει ποσοστό πτώσης του 30-40% και σχεδόν </w:t>
      </w:r>
      <w:r w:rsidRPr="006D319D">
        <w:rPr>
          <w:rFonts w:ascii="Times New Roman" w:hAnsi="Times New Roman" w:cs="Times New Roman"/>
          <w:b/>
          <w:sz w:val="25"/>
          <w:szCs w:val="25"/>
        </w:rPr>
        <w:t>ένας</w:t>
      </w:r>
      <w:r w:rsidRPr="002A7A89">
        <w:rPr>
          <w:rFonts w:ascii="Times New Roman" w:hAnsi="Times New Roman" w:cs="Times New Roman"/>
          <w:sz w:val="25"/>
          <w:szCs w:val="25"/>
        </w:rPr>
        <w:t xml:space="preserve"> στους </w:t>
      </w:r>
      <w:r w:rsidR="006D319D">
        <w:rPr>
          <w:rFonts w:ascii="Times New Roman" w:hAnsi="Times New Roman" w:cs="Times New Roman"/>
          <w:b/>
          <w:sz w:val="25"/>
          <w:szCs w:val="25"/>
        </w:rPr>
        <w:t>τέσσερ</w:t>
      </w:r>
      <w:r w:rsidRPr="006D319D">
        <w:rPr>
          <w:rFonts w:ascii="Times New Roman" w:hAnsi="Times New Roman" w:cs="Times New Roman"/>
          <w:b/>
          <w:sz w:val="25"/>
          <w:szCs w:val="25"/>
        </w:rPr>
        <w:t>ις</w:t>
      </w:r>
      <w:r w:rsidRPr="002A7A89">
        <w:rPr>
          <w:rFonts w:ascii="Times New Roman" w:hAnsi="Times New Roman" w:cs="Times New Roman"/>
          <w:b/>
          <w:bCs/>
          <w:sz w:val="25"/>
          <w:szCs w:val="25"/>
        </w:rPr>
        <w:t> (23%) </w:t>
      </w:r>
      <w:r w:rsidRPr="002A7A89">
        <w:rPr>
          <w:rFonts w:ascii="Times New Roman" w:hAnsi="Times New Roman" w:cs="Times New Roman"/>
          <w:sz w:val="25"/>
          <w:szCs w:val="25"/>
        </w:rPr>
        <w:t>δηλώνει πως η πτωτική τάση του τζίρου τους ξεπέρασε το </w:t>
      </w:r>
      <w:r w:rsidRPr="002A7A89">
        <w:rPr>
          <w:rStyle w:val="s8"/>
          <w:rFonts w:ascii="Times New Roman" w:hAnsi="Times New Roman" w:cs="Times New Roman"/>
          <w:b/>
          <w:bCs/>
          <w:sz w:val="25"/>
          <w:szCs w:val="25"/>
        </w:rPr>
        <w:t>40%. </w:t>
      </w:r>
      <w:r w:rsidRPr="002A7A89">
        <w:rPr>
          <w:rFonts w:ascii="Times New Roman" w:hAnsi="Times New Roman" w:cs="Times New Roman"/>
          <w:sz w:val="25"/>
          <w:szCs w:val="25"/>
        </w:rPr>
        <w:t>Τέλος, η μεγάλη πλειοψηφία των ερωτηθέντων (92%) αποτύπωσε την ανύπαρκτη επίδραση που επέφερε το άνοιγμα των καταστημάτων την 1</w:t>
      </w:r>
      <w:r w:rsidRPr="002A7A89">
        <w:rPr>
          <w:rStyle w:val="s14"/>
          <w:rFonts w:ascii="Times New Roman" w:hAnsi="Times New Roman" w:cs="Times New Roman"/>
          <w:sz w:val="25"/>
          <w:szCs w:val="25"/>
          <w:vertAlign w:val="superscript"/>
        </w:rPr>
        <w:t>η</w:t>
      </w:r>
      <w:r w:rsidRPr="002A7A89">
        <w:rPr>
          <w:rFonts w:ascii="Times New Roman" w:hAnsi="Times New Roman" w:cs="Times New Roman"/>
          <w:sz w:val="25"/>
          <w:szCs w:val="25"/>
        </w:rPr>
        <w:t> Κυριακή των χειμερινών εκπτώσεων στη</w:t>
      </w:r>
      <w:r>
        <w:rPr>
          <w:rFonts w:ascii="Times New Roman" w:hAnsi="Times New Roman"/>
          <w:sz w:val="25"/>
          <w:szCs w:val="25"/>
        </w:rPr>
        <w:t>ν</w:t>
      </w:r>
      <w:r w:rsidRPr="002A7A89">
        <w:rPr>
          <w:rFonts w:ascii="Times New Roman" w:hAnsi="Times New Roman" w:cs="Times New Roman"/>
          <w:sz w:val="25"/>
          <w:szCs w:val="25"/>
        </w:rPr>
        <w:t xml:space="preserve"> τόνωση της καταναλωτικής δαπάνης, ενώ πρέπει να τονιστεί πως μόνο το 42% των καταστημάτων παρέμειναν ανοικτά τη Κυριακή 18 Ιανουαρίου.</w:t>
      </w:r>
    </w:p>
    <w:p w:rsidR="00E64512" w:rsidRPr="002A7A89" w:rsidRDefault="00E64512" w:rsidP="00E64512">
      <w:pPr>
        <w:spacing w:before="12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Τα ποσοστά των εκπτώσεων, όπως συμβαίνει τα τελευταία χρόνια, κυμάνθηκαν σε ιδιαίτερα υψηλά επίπεδα, καθώς η συντριπτική πλειοψηφία των εμπόρων προέβη σε γενναίες μειώσεις τιμών που ξεκινούσαν από το 30% και στις περισσότερες των περιπτώσεων ξεπερνούσαν το 50%</w:t>
      </w:r>
      <w:r>
        <w:rPr>
          <w:rFonts w:ascii="Times New Roman" w:hAnsi="Times New Roman"/>
          <w:sz w:val="25"/>
          <w:szCs w:val="25"/>
        </w:rPr>
        <w:t>,</w:t>
      </w:r>
      <w:r w:rsidRPr="002A7A89">
        <w:rPr>
          <w:rFonts w:ascii="Times New Roman" w:hAnsi="Times New Roman" w:cs="Times New Roman"/>
          <w:sz w:val="25"/>
          <w:szCs w:val="25"/>
        </w:rPr>
        <w:t xml:space="preserve"> ενώ σε ορισμένες περιπτώσεις άγγιξαν και το 80%.  Είναι χαρακτηριστικό πως πάνω </w:t>
      </w:r>
      <w:r w:rsidRPr="002A7A89">
        <w:rPr>
          <w:rFonts w:ascii="Times New Roman" w:hAnsi="Times New Roman" w:cs="Times New Roman"/>
          <w:sz w:val="25"/>
          <w:szCs w:val="25"/>
        </w:rPr>
        <w:lastRenderedPageBreak/>
        <w:t>από</w:t>
      </w:r>
      <w:r w:rsidRPr="002A7A89">
        <w:rPr>
          <w:rStyle w:val="s8"/>
          <w:rFonts w:ascii="Times New Roman" w:hAnsi="Times New Roman" w:cs="Times New Roman"/>
          <w:b/>
          <w:bCs/>
          <w:sz w:val="25"/>
          <w:szCs w:val="25"/>
        </w:rPr>
        <w:t> 5 </w:t>
      </w:r>
      <w:r w:rsidRPr="002A7A89">
        <w:rPr>
          <w:rFonts w:ascii="Times New Roman" w:hAnsi="Times New Roman" w:cs="Times New Roman"/>
          <w:sz w:val="25"/>
          <w:szCs w:val="25"/>
        </w:rPr>
        <w:t>στους </w:t>
      </w:r>
      <w:r w:rsidRPr="002A7A89">
        <w:rPr>
          <w:rStyle w:val="s8"/>
          <w:rFonts w:ascii="Times New Roman" w:hAnsi="Times New Roman" w:cs="Times New Roman"/>
          <w:b/>
          <w:bCs/>
          <w:sz w:val="25"/>
          <w:szCs w:val="25"/>
        </w:rPr>
        <w:t>10</w:t>
      </w:r>
      <w:r w:rsidRPr="002A7A89">
        <w:rPr>
          <w:rFonts w:ascii="Times New Roman" w:hAnsi="Times New Roman" w:cs="Times New Roman"/>
          <w:sz w:val="25"/>
          <w:szCs w:val="25"/>
        </w:rPr>
        <w:t> εμπόρους </w:t>
      </w:r>
      <w:r w:rsidRPr="006D319D">
        <w:rPr>
          <w:rFonts w:ascii="Times New Roman" w:hAnsi="Times New Roman" w:cs="Times New Roman"/>
          <w:b/>
          <w:sz w:val="25"/>
          <w:szCs w:val="25"/>
        </w:rPr>
        <w:t>(55%)</w:t>
      </w:r>
      <w:r>
        <w:rPr>
          <w:rFonts w:ascii="Times New Roman" w:hAnsi="Times New Roman"/>
          <w:sz w:val="25"/>
          <w:szCs w:val="25"/>
        </w:rPr>
        <w:t xml:space="preserve"> </w:t>
      </w:r>
      <w:r w:rsidRPr="002A7A89">
        <w:rPr>
          <w:rFonts w:ascii="Times New Roman" w:hAnsi="Times New Roman" w:cs="Times New Roman"/>
          <w:sz w:val="25"/>
          <w:szCs w:val="25"/>
        </w:rPr>
        <w:t>υποδεικνύουν ως καλύτερη περίοδο των χειμερινών εκπτώσεων το διάστημα από 12/1 έως 31/1, παρά τη διενέργεια των εκλογών. Αντίστοιχα</w:t>
      </w:r>
      <w:r w:rsidR="00E854FC">
        <w:rPr>
          <w:rFonts w:ascii="Times New Roman" w:hAnsi="Times New Roman" w:cs="Times New Roman"/>
          <w:sz w:val="25"/>
          <w:szCs w:val="25"/>
        </w:rPr>
        <w:t>,</w:t>
      </w:r>
      <w:r w:rsidRPr="002A7A89">
        <w:rPr>
          <w:rFonts w:ascii="Times New Roman" w:hAnsi="Times New Roman" w:cs="Times New Roman"/>
          <w:sz w:val="25"/>
          <w:szCs w:val="25"/>
        </w:rPr>
        <w:t xml:space="preserve"> </w:t>
      </w:r>
      <w:r w:rsidRPr="006D319D">
        <w:rPr>
          <w:rFonts w:ascii="Times New Roman" w:hAnsi="Times New Roman" w:cs="Times New Roman"/>
          <w:b/>
          <w:sz w:val="25"/>
          <w:szCs w:val="25"/>
        </w:rPr>
        <w:t>3</w:t>
      </w:r>
      <w:r w:rsidRPr="002A7A89">
        <w:rPr>
          <w:rFonts w:ascii="Times New Roman" w:hAnsi="Times New Roman" w:cs="Times New Roman"/>
          <w:sz w:val="25"/>
          <w:szCs w:val="25"/>
        </w:rPr>
        <w:t xml:space="preserve"> στους </w:t>
      </w:r>
      <w:r w:rsidRPr="006D319D">
        <w:rPr>
          <w:rFonts w:ascii="Times New Roman" w:hAnsi="Times New Roman" w:cs="Times New Roman"/>
          <w:b/>
          <w:sz w:val="25"/>
          <w:szCs w:val="25"/>
        </w:rPr>
        <w:t>10</w:t>
      </w:r>
      <w:r w:rsidRPr="002A7A89">
        <w:rPr>
          <w:rFonts w:ascii="Times New Roman" w:hAnsi="Times New Roman" w:cs="Times New Roman"/>
          <w:sz w:val="25"/>
          <w:szCs w:val="25"/>
        </w:rPr>
        <w:t> υπέδειξαν την περίοδο από 1/2 έως 15/2 ως την πιο αποδοτική και λιγότεροι απ</w:t>
      </w:r>
      <w:r>
        <w:rPr>
          <w:rFonts w:ascii="Times New Roman" w:hAnsi="Times New Roman"/>
          <w:sz w:val="25"/>
          <w:szCs w:val="25"/>
        </w:rPr>
        <w:t>ό</w:t>
      </w:r>
      <w:r w:rsidRPr="002A7A89">
        <w:rPr>
          <w:rFonts w:ascii="Times New Roman" w:hAnsi="Times New Roman" w:cs="Times New Roman"/>
          <w:sz w:val="25"/>
          <w:szCs w:val="25"/>
        </w:rPr>
        <w:t xml:space="preserve"> </w:t>
      </w:r>
      <w:r w:rsidRPr="006D319D">
        <w:rPr>
          <w:rFonts w:ascii="Times New Roman" w:hAnsi="Times New Roman" w:cs="Times New Roman"/>
          <w:b/>
          <w:sz w:val="25"/>
          <w:szCs w:val="25"/>
        </w:rPr>
        <w:t>2</w:t>
      </w:r>
      <w:r w:rsidRPr="002A7A89">
        <w:rPr>
          <w:rFonts w:ascii="Times New Roman" w:hAnsi="Times New Roman" w:cs="Times New Roman"/>
          <w:sz w:val="25"/>
          <w:szCs w:val="25"/>
        </w:rPr>
        <w:t xml:space="preserve"> στους </w:t>
      </w:r>
      <w:r w:rsidRPr="006D319D">
        <w:rPr>
          <w:rFonts w:ascii="Times New Roman" w:hAnsi="Times New Roman" w:cs="Times New Roman"/>
          <w:b/>
          <w:sz w:val="25"/>
          <w:szCs w:val="25"/>
        </w:rPr>
        <w:t>10</w:t>
      </w:r>
      <w:r w:rsidRPr="002A7A89">
        <w:rPr>
          <w:rFonts w:ascii="Times New Roman" w:hAnsi="Times New Roman" w:cs="Times New Roman"/>
          <w:sz w:val="25"/>
          <w:szCs w:val="25"/>
        </w:rPr>
        <w:t xml:space="preserve"> </w:t>
      </w:r>
      <w:r w:rsidRPr="006D319D">
        <w:rPr>
          <w:rFonts w:ascii="Times New Roman" w:hAnsi="Times New Roman" w:cs="Times New Roman"/>
          <w:b/>
          <w:sz w:val="25"/>
          <w:szCs w:val="25"/>
        </w:rPr>
        <w:t>(15%)</w:t>
      </w:r>
      <w:r w:rsidRPr="002A7A89">
        <w:rPr>
          <w:rFonts w:ascii="Times New Roman" w:hAnsi="Times New Roman" w:cs="Times New Roman"/>
          <w:sz w:val="25"/>
          <w:szCs w:val="25"/>
        </w:rPr>
        <w:t xml:space="preserve"> εκείνη από 16/2 έως 28/2, παράμετρος η οποία υποδηλώνει την κάμψη της αγοραστικής κίνησης στα εμπορικά καταστήματα κατά τη διάρκεια του δεύτερου δεκαπενθημέρου του Φεβρουαρίου.</w:t>
      </w:r>
    </w:p>
    <w:p w:rsidR="00E64512" w:rsidRPr="002A7A89" w:rsidRDefault="00E64512" w:rsidP="00E64512">
      <w:pPr>
        <w:spacing w:before="12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Έχει πλέον καταστεί κοινή αντίληψη, ακόμη και στους πλέον αδαείς σε ζητήματα λειτουργίας της αγοράς, πως η πολιτική λιτότητας έχει εξαντλήσει τις αντοχές του καταναλωτικού κοινού, με άμεση συνέπεια την περιορισμένη ανταπόκρισή του στις ιδιαίτερα θελκτικές χειμερινές εκπτώσεις, την ίδια ώρα που σύμφωνα με τα στοιχεία της Ελληνικής Στατιστικής Αρχής οι αποπληθωριστικές τάσεις στην αγορά των τελευταίων δύο ετών έχουν παγιωθεί. Η εγχώρια αγορά, τον Ιανουάριο του 2015 σε σχέση με τον αντίστοιχο μήνα του 2014 σημείωσε κατακόρυφη πτώση -2,8% απ</w:t>
      </w:r>
      <w:r>
        <w:rPr>
          <w:rFonts w:ascii="Times New Roman" w:hAnsi="Times New Roman"/>
          <w:sz w:val="25"/>
          <w:szCs w:val="25"/>
        </w:rPr>
        <w:t>ό</w:t>
      </w:r>
      <w:r w:rsidRPr="002A7A89">
        <w:rPr>
          <w:rFonts w:ascii="Times New Roman" w:hAnsi="Times New Roman" w:cs="Times New Roman"/>
          <w:sz w:val="25"/>
          <w:szCs w:val="25"/>
        </w:rPr>
        <w:t xml:space="preserve"> -1,</w:t>
      </w:r>
      <w:r w:rsidR="007A4848" w:rsidRPr="007A4848">
        <w:rPr>
          <w:rFonts w:ascii="Times New Roman" w:hAnsi="Times New Roman" w:cs="Times New Roman"/>
          <w:sz w:val="25"/>
          <w:szCs w:val="25"/>
        </w:rPr>
        <w:t>5</w:t>
      </w:r>
      <w:r w:rsidRPr="002A7A89">
        <w:rPr>
          <w:rFonts w:ascii="Times New Roman" w:hAnsi="Times New Roman" w:cs="Times New Roman"/>
          <w:sz w:val="25"/>
          <w:szCs w:val="25"/>
        </w:rPr>
        <w:t>%</w:t>
      </w:r>
      <w:r w:rsidR="007A4848" w:rsidRPr="007A4848">
        <w:rPr>
          <w:rFonts w:ascii="Times New Roman" w:hAnsi="Times New Roman" w:cs="Times New Roman"/>
          <w:sz w:val="25"/>
          <w:szCs w:val="25"/>
        </w:rPr>
        <w:t xml:space="preserve"> (</w:t>
      </w:r>
      <w:r w:rsidR="007A4848">
        <w:rPr>
          <w:rFonts w:ascii="Times New Roman" w:hAnsi="Times New Roman" w:cs="Times New Roman"/>
          <w:sz w:val="25"/>
          <w:szCs w:val="25"/>
        </w:rPr>
        <w:t>Ιανουάριος 2014-2013)</w:t>
      </w:r>
      <w:r w:rsidRPr="002A7A89">
        <w:rPr>
          <w:rFonts w:ascii="Times New Roman" w:hAnsi="Times New Roman" w:cs="Times New Roman"/>
          <w:sz w:val="25"/>
          <w:szCs w:val="25"/>
        </w:rPr>
        <w:t>, με αποτέλεσμα η αδιάλειπτη για 23</w:t>
      </w:r>
      <w:r w:rsidRPr="002A7A89">
        <w:rPr>
          <w:rStyle w:val="s14"/>
          <w:rFonts w:ascii="Times New Roman" w:hAnsi="Times New Roman" w:cs="Times New Roman"/>
          <w:sz w:val="25"/>
          <w:szCs w:val="25"/>
          <w:vertAlign w:val="superscript"/>
        </w:rPr>
        <w:t>ο</w:t>
      </w:r>
      <w:r w:rsidRPr="002A7A89">
        <w:rPr>
          <w:rFonts w:ascii="Times New Roman" w:hAnsi="Times New Roman" w:cs="Times New Roman"/>
          <w:sz w:val="25"/>
          <w:szCs w:val="25"/>
        </w:rPr>
        <w:t> μήνα υποχώρηση του επιπέδου των τιμών να διαμορφώσει το</w:t>
      </w:r>
      <w:r>
        <w:rPr>
          <w:rFonts w:ascii="Times New Roman" w:hAnsi="Times New Roman"/>
          <w:sz w:val="25"/>
          <w:szCs w:val="25"/>
        </w:rPr>
        <w:t>ν</w:t>
      </w:r>
      <w:r w:rsidRPr="002A7A89">
        <w:rPr>
          <w:rFonts w:ascii="Times New Roman" w:hAnsi="Times New Roman" w:cs="Times New Roman"/>
          <w:sz w:val="25"/>
          <w:szCs w:val="25"/>
        </w:rPr>
        <w:t xml:space="preserve"> Γενικό Δείκτη Τιμών Καταναλωτή στις 104,32 μονάδες, εξέλιξη που συνιστά τη χαμηλότερη επίδοση των τελευταίων</w:t>
      </w:r>
      <w:r w:rsidR="004034F7">
        <w:rPr>
          <w:rFonts w:ascii="Times New Roman" w:hAnsi="Times New Roman" w:cs="Times New Roman"/>
          <w:sz w:val="25"/>
          <w:szCs w:val="25"/>
        </w:rPr>
        <w:t xml:space="preserve"> περίπου</w:t>
      </w:r>
      <w:r w:rsidRPr="002A7A89">
        <w:rPr>
          <w:rFonts w:ascii="Times New Roman" w:hAnsi="Times New Roman" w:cs="Times New Roman"/>
          <w:sz w:val="25"/>
          <w:szCs w:val="25"/>
        </w:rPr>
        <w:t xml:space="preserve"> 4,5 ετών.</w:t>
      </w:r>
    </w:p>
    <w:p w:rsidR="00E64512" w:rsidRPr="002A7A89" w:rsidRDefault="00E64512" w:rsidP="00E64512">
      <w:pPr>
        <w:spacing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Συνοψίζοντας, επισημαίνουμε:</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 Το έντονο πρόβλημα ρευστότητας σε συνδυασμό με τις πολιτικές εξελίξεις επιδείνωσαν περαιτέρω τη κατανάλωση.</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Η εγχώρια αγορά, αδυνατεί να αντιδράσει στη δίνη των αλλεπάλληλων φοροεισπρακτικών μέτρων, των χαμηλών εισοδημάτων, της υψηλής ανεργίας και της φτώχειας.</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Ο αποπληθωρισμός στην ελληνική αγορά, όχι μόνο έχει παγιωθεί αλλά επιδεινώθηκε περισσότερο τον φετινό Ιανουάριο. </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 Περιπτώσεις με πολύ μεγάλα ποσοστά έκπτωσης, ενώ υπήρξαν ταμπέλες με τίτλους «Εκλογικές Εκπτώσεις» και «Δεύτερες Εκπτώσεις».</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 Στο εμπορικό κέντρο της Αθήνας παρατηρήθηκε σχετικά μικρή υποχώρηση της καταναλωτικής κίνησης, ενώ σε συγκεκριμένες αγορές σταθεροποιητικές τάσεις σε αντίθεση με τις περισσότερες περιφερειακές αγορές.</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 Οι πολιτικές διευθετήσεις δημιούργησαν επιπλέον καταναλωτική αδράνεια και εξασθένιση κάθε ενδιαφέροντός για αγορές τη</w:t>
      </w:r>
      <w:r>
        <w:rPr>
          <w:sz w:val="25"/>
          <w:szCs w:val="25"/>
        </w:rPr>
        <w:t>ν</w:t>
      </w:r>
      <w:r w:rsidRPr="002A7A89">
        <w:rPr>
          <w:rFonts w:ascii="Times New Roman" w:hAnsi="Times New Roman" w:cs="Times New Roman"/>
          <w:sz w:val="25"/>
          <w:szCs w:val="25"/>
        </w:rPr>
        <w:t xml:space="preserve"> προεκλογική περίοδο.</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Φοβία του δυνητικού καταναλωτή τη μετεκλογική περίοδο και μέχρι την επίτευξη της πρώτης συμφωνίας με τους δανειστές.</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 Η πρώτη εβδομάδα των εκπτώσεων, ακόμα και λίγο πριν τις εκλογές, παραμένει η πιο θετική περίοδος μέσα στις εκπτώσεις.</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Η τρύπα στο</w:t>
      </w:r>
      <w:r>
        <w:rPr>
          <w:sz w:val="25"/>
          <w:szCs w:val="25"/>
        </w:rPr>
        <w:t>ν</w:t>
      </w:r>
      <w:r w:rsidRPr="002A7A89">
        <w:rPr>
          <w:rFonts w:ascii="Times New Roman" w:hAnsi="Times New Roman" w:cs="Times New Roman"/>
          <w:sz w:val="25"/>
          <w:szCs w:val="25"/>
        </w:rPr>
        <w:t xml:space="preserve"> τζίρο των χειμερινών εκπτώσεων, εκτιμάται σε κάτι λιγότερο από ένα δις ευρώ, δημιουργώντας μεγάλο κενό στην ελληνική αγορά.</w:t>
      </w:r>
    </w:p>
    <w:p w:rsidR="00E64512" w:rsidRPr="002A7A89" w:rsidRDefault="00E64512" w:rsidP="00E64512">
      <w:pPr>
        <w:spacing w:before="8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 Το ελληνικό εμπόριο συνεχίζει την μεγάλη προσπάθεια για ανάκαμψη, ενώ ο κλάδος του λιανεμπορίου συνεχίζει τις προσφορές μειωμένων τιμών στους καταναλωτές.</w:t>
      </w:r>
    </w:p>
    <w:p w:rsidR="00E64512" w:rsidRDefault="00E64512" w:rsidP="00E64512">
      <w:pPr>
        <w:spacing w:before="120" w:after="0" w:line="240" w:lineRule="auto"/>
        <w:jc w:val="both"/>
        <w:rPr>
          <w:rFonts w:ascii="Times New Roman" w:hAnsi="Times New Roman" w:cs="Times New Roman"/>
          <w:sz w:val="25"/>
          <w:szCs w:val="25"/>
        </w:rPr>
      </w:pPr>
      <w:r w:rsidRPr="002A7A89">
        <w:rPr>
          <w:rFonts w:ascii="Times New Roman" w:hAnsi="Times New Roman" w:cs="Times New Roman"/>
          <w:sz w:val="25"/>
          <w:szCs w:val="25"/>
        </w:rPr>
        <w:t>Ακολουθεί η καταγραφή κάποιων σημαντικών διαπιστώσεων</w:t>
      </w:r>
      <w:r w:rsidR="00E413B7">
        <w:rPr>
          <w:rFonts w:ascii="Times New Roman" w:hAnsi="Times New Roman" w:cs="Times New Roman"/>
          <w:sz w:val="25"/>
          <w:szCs w:val="25"/>
        </w:rPr>
        <w:t xml:space="preserve"> και ε</w:t>
      </w:r>
      <w:r w:rsidRPr="002A7A89">
        <w:rPr>
          <w:rFonts w:ascii="Times New Roman" w:hAnsi="Times New Roman" w:cs="Times New Roman"/>
          <w:sz w:val="25"/>
          <w:szCs w:val="25"/>
        </w:rPr>
        <w:t>πισυνάπτεται αναλυτικά η έρευνα καθώς και οι εκτιμήσεις για την πορεία των χειμερινών εκπτώσεων των 70 Εμπορικών Συλλόγων που συμμετείχαν στην έρευνα.</w:t>
      </w:r>
    </w:p>
    <w:p w:rsidR="00E64512" w:rsidRDefault="00E64512" w:rsidP="00E64512">
      <w:pPr>
        <w:spacing w:after="0" w:line="240" w:lineRule="auto"/>
        <w:jc w:val="both"/>
        <w:rPr>
          <w:rFonts w:ascii="Times New Roman" w:hAnsi="Times New Roman" w:cs="Times New Roman"/>
          <w:sz w:val="25"/>
          <w:szCs w:val="25"/>
        </w:rPr>
      </w:pPr>
    </w:p>
    <w:p w:rsidR="00E64512" w:rsidRDefault="00E64512" w:rsidP="00E64512">
      <w:pPr>
        <w:spacing w:after="0" w:line="240" w:lineRule="auto"/>
        <w:jc w:val="both"/>
        <w:rPr>
          <w:rFonts w:ascii="Times New Roman" w:hAnsi="Times New Roman" w:cs="Times New Roman"/>
          <w:sz w:val="25"/>
          <w:szCs w:val="25"/>
        </w:rPr>
      </w:pPr>
    </w:p>
    <w:p w:rsidR="00E64512" w:rsidRDefault="00E64512" w:rsidP="00E64512">
      <w:pPr>
        <w:spacing w:after="0" w:line="240" w:lineRule="auto"/>
        <w:jc w:val="both"/>
        <w:rPr>
          <w:rFonts w:ascii="Times New Roman" w:hAnsi="Times New Roman" w:cs="Times New Roman"/>
          <w:sz w:val="25"/>
          <w:szCs w:val="25"/>
        </w:rPr>
      </w:pPr>
    </w:p>
    <w:p w:rsidR="00E64512" w:rsidRPr="002A7A89" w:rsidRDefault="00E64512" w:rsidP="00E64512">
      <w:pPr>
        <w:spacing w:after="0" w:line="240" w:lineRule="auto"/>
        <w:jc w:val="both"/>
        <w:rPr>
          <w:rFonts w:ascii="Times New Roman" w:hAnsi="Times New Roman" w:cs="Times New Roman"/>
          <w:sz w:val="25"/>
          <w:szCs w:val="25"/>
        </w:rPr>
      </w:pPr>
    </w:p>
    <w:p w:rsidR="00E64512" w:rsidRDefault="00E64512" w:rsidP="00E64512">
      <w:pPr>
        <w:pStyle w:val="ae"/>
        <w:jc w:val="center"/>
        <w:rPr>
          <w:rFonts w:ascii="Times New Roman" w:hAnsi="Times New Roman"/>
          <w:b/>
          <w:sz w:val="24"/>
          <w:szCs w:val="24"/>
        </w:rPr>
      </w:pPr>
    </w:p>
    <w:p w:rsidR="00E64512" w:rsidRPr="002A7A89" w:rsidRDefault="00E64512" w:rsidP="00E64512">
      <w:pPr>
        <w:pStyle w:val="ae"/>
        <w:jc w:val="center"/>
        <w:rPr>
          <w:rFonts w:ascii="Times New Roman" w:hAnsi="Times New Roman"/>
          <w:b/>
          <w:sz w:val="25"/>
          <w:szCs w:val="25"/>
        </w:rPr>
      </w:pPr>
      <w:r w:rsidRPr="002A7A89">
        <w:rPr>
          <w:rFonts w:ascii="Times New Roman" w:hAnsi="Times New Roman"/>
          <w:b/>
          <w:sz w:val="25"/>
          <w:szCs w:val="25"/>
        </w:rPr>
        <w:t xml:space="preserve">« Αναλυτικά τα στοιχεία της έρευνας: </w:t>
      </w:r>
    </w:p>
    <w:p w:rsidR="00E64512" w:rsidRDefault="00E64512" w:rsidP="00E64512">
      <w:pPr>
        <w:pStyle w:val="ae"/>
        <w:jc w:val="center"/>
        <w:rPr>
          <w:rFonts w:ascii="Times New Roman" w:hAnsi="Times New Roman"/>
          <w:b/>
          <w:sz w:val="25"/>
          <w:szCs w:val="25"/>
        </w:rPr>
      </w:pPr>
      <w:r w:rsidRPr="002A7A89">
        <w:rPr>
          <w:rFonts w:ascii="Times New Roman" w:hAnsi="Times New Roman"/>
          <w:b/>
          <w:sz w:val="25"/>
          <w:szCs w:val="25"/>
        </w:rPr>
        <w:t>Αποτελέσματα των χειμερινών εκπτώσεων 2015»</w:t>
      </w:r>
    </w:p>
    <w:p w:rsidR="00E64512" w:rsidRPr="002A7A89" w:rsidRDefault="00E64512" w:rsidP="00E64512">
      <w:pPr>
        <w:pStyle w:val="ae"/>
        <w:jc w:val="center"/>
        <w:rPr>
          <w:rFonts w:ascii="Times New Roman" w:hAnsi="Times New Roman"/>
          <w:b/>
          <w:sz w:val="25"/>
          <w:szCs w:val="25"/>
        </w:rPr>
      </w:pPr>
    </w:p>
    <w:p w:rsidR="00E64512" w:rsidRPr="002A7A89" w:rsidRDefault="00E64512" w:rsidP="00E64512">
      <w:pPr>
        <w:pStyle w:val="ae"/>
        <w:jc w:val="both"/>
        <w:rPr>
          <w:rFonts w:ascii="Times New Roman" w:hAnsi="Times New Roman"/>
          <w:sz w:val="25"/>
          <w:szCs w:val="25"/>
        </w:rPr>
      </w:pPr>
      <w:r w:rsidRPr="002A7A89">
        <w:rPr>
          <w:rFonts w:ascii="Times New Roman" w:hAnsi="Times New Roman"/>
          <w:sz w:val="25"/>
          <w:szCs w:val="25"/>
        </w:rPr>
        <w:t xml:space="preserve">Το ΙΝΕΜΥ-ΕΣΕΕ πραγματοποίησε την περιοδική έρευνα για τις χειμερινές εκπτώσεις και διερεύνησε τη στάση και τις απόψεις των εμπόρων για το άνοιγμα των Κυριακών. Η έρευνα ήταν τηλεφωνική με χρήση δομημένου ερωτηματολογίου σε τυχαίο δείγμα 189 εμπορικών επιχειρήσεων σε παραδοσιακές εμπορικές αγορές αστικών κέντρων της χώρας. </w:t>
      </w:r>
      <w:r>
        <w:rPr>
          <w:rFonts w:ascii="Times New Roman" w:hAnsi="Times New Roman"/>
          <w:sz w:val="25"/>
          <w:szCs w:val="25"/>
        </w:rPr>
        <w:t>Επίσης,</w:t>
      </w:r>
      <w:r w:rsidRPr="002A7A89">
        <w:rPr>
          <w:rFonts w:ascii="Times New Roman" w:hAnsi="Times New Roman"/>
          <w:sz w:val="25"/>
          <w:szCs w:val="25"/>
        </w:rPr>
        <w:t xml:space="preserve"> καταγράφηκαν οι απόψεις πολλών Εμπορικών Συλλόγων από όλη τη χώρα. </w:t>
      </w:r>
    </w:p>
    <w:p w:rsidR="00E64512" w:rsidRPr="002A7A89" w:rsidRDefault="00E64512" w:rsidP="00E64512">
      <w:pPr>
        <w:pStyle w:val="ae"/>
        <w:jc w:val="both"/>
        <w:rPr>
          <w:rFonts w:ascii="Times New Roman" w:hAnsi="Times New Roman"/>
          <w:b/>
          <w:i/>
          <w:sz w:val="25"/>
          <w:szCs w:val="25"/>
          <w:u w:val="single"/>
        </w:rPr>
      </w:pPr>
    </w:p>
    <w:p w:rsidR="00E64512" w:rsidRPr="002A7A89" w:rsidRDefault="00E64512" w:rsidP="00E64512">
      <w:pPr>
        <w:pStyle w:val="ae"/>
        <w:jc w:val="both"/>
        <w:rPr>
          <w:rFonts w:ascii="Times New Roman" w:hAnsi="Times New Roman"/>
          <w:b/>
          <w:i/>
          <w:sz w:val="25"/>
          <w:szCs w:val="25"/>
          <w:u w:val="single"/>
        </w:rPr>
      </w:pPr>
      <w:r w:rsidRPr="002A7A89">
        <w:rPr>
          <w:rFonts w:ascii="Times New Roman" w:hAnsi="Times New Roman"/>
          <w:b/>
          <w:i/>
          <w:sz w:val="25"/>
          <w:szCs w:val="25"/>
          <w:u w:val="single"/>
        </w:rPr>
        <w:t>Εκπτώσεις</w:t>
      </w:r>
    </w:p>
    <w:p w:rsidR="00E64512" w:rsidRPr="002A7A89" w:rsidRDefault="00E64512" w:rsidP="00E64512">
      <w:pPr>
        <w:pStyle w:val="ae"/>
        <w:jc w:val="both"/>
        <w:rPr>
          <w:rFonts w:ascii="Times New Roman" w:hAnsi="Times New Roman"/>
          <w:sz w:val="25"/>
          <w:szCs w:val="25"/>
        </w:rPr>
      </w:pPr>
      <w:r>
        <w:rPr>
          <w:rFonts w:ascii="Times New Roman" w:hAnsi="Times New Roman"/>
          <w:sz w:val="25"/>
          <w:szCs w:val="25"/>
        </w:rPr>
        <w:t>Το επίπεδο των εκπτώσεων τη</w:t>
      </w:r>
      <w:r w:rsidRPr="002A7A89">
        <w:rPr>
          <w:rFonts w:ascii="Times New Roman" w:hAnsi="Times New Roman"/>
          <w:sz w:val="25"/>
          <w:szCs w:val="25"/>
        </w:rPr>
        <w:t xml:space="preserve"> χειμερινή περίοδο κυμάνθηκε για τις περισσότερες επιχειρήσεις, σε ποσοστό 46%, μεταξύ 20% και 40%, ενώ μία στις τρεις είχαν εκπτώσεις στα προϊόντα τους άνω του 40%, ενώ υπήρξαν και επιχειρήσεις με πολύ υψηλά ποσοστά έκπτωσης που έφτασαν και στο 80%. Σύμφωνα με τα στοιχεία της έρευνας υπάρχει σαφής διαφοροποίηση του επιπέδου της έκπτωσης, ανάλογα με τον κλάδο δραστηριοποίησης της επιχείρησης. Τα καταστήματα με είδη οικιακού εξοπλισμού καθώς και οι επιχειρήσεις με είδη ψυχαγωγίας και επιμορφωτικά είδη, είχαν χαμηλότερο επίπεδο εκπτώσεων σε σύγκριση με τις επιχειρήσεις του κλάδου της ένδυσης - υπόδησης. </w:t>
      </w:r>
    </w:p>
    <w:p w:rsidR="00E64512" w:rsidRPr="002A7A89" w:rsidRDefault="00E64512" w:rsidP="00E64512">
      <w:pPr>
        <w:pStyle w:val="ae"/>
        <w:jc w:val="both"/>
        <w:rPr>
          <w:rFonts w:ascii="Times New Roman" w:hAnsi="Times New Roman"/>
          <w:sz w:val="25"/>
          <w:szCs w:val="25"/>
        </w:rPr>
      </w:pPr>
    </w:p>
    <w:p w:rsidR="00E64512" w:rsidRDefault="00E64512" w:rsidP="00E64512">
      <w:pPr>
        <w:pStyle w:val="ae"/>
        <w:spacing w:before="80" w:line="360" w:lineRule="atLeast"/>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3956892" cy="2375978"/>
            <wp:effectExtent l="19050" t="0" r="24558" b="5272"/>
            <wp:docPr id="12"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4512" w:rsidRDefault="00E64512" w:rsidP="00E64512">
      <w:pPr>
        <w:pStyle w:val="ae"/>
        <w:spacing w:before="80" w:line="360" w:lineRule="atLeast"/>
        <w:jc w:val="both"/>
        <w:rPr>
          <w:rFonts w:ascii="Times New Roman" w:hAnsi="Times New Roman"/>
          <w:sz w:val="24"/>
          <w:szCs w:val="24"/>
        </w:rPr>
      </w:pPr>
    </w:p>
    <w:p w:rsidR="00E64512" w:rsidRDefault="00E64512" w:rsidP="00E64512">
      <w:pPr>
        <w:pStyle w:val="ae"/>
        <w:spacing w:before="80" w:line="360" w:lineRule="atLeast"/>
        <w:jc w:val="both"/>
        <w:rPr>
          <w:rFonts w:ascii="Times New Roman" w:hAnsi="Times New Roman"/>
          <w:sz w:val="24"/>
          <w:szCs w:val="24"/>
        </w:rPr>
      </w:pPr>
    </w:p>
    <w:p w:rsidR="00E64512" w:rsidRDefault="00E64512" w:rsidP="00E64512">
      <w:pPr>
        <w:pStyle w:val="ae"/>
        <w:spacing w:before="80" w:line="360" w:lineRule="atLeast"/>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5278504" cy="2758750"/>
            <wp:effectExtent l="19050" t="0" r="17396" b="3500"/>
            <wp:docPr id="11"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4512" w:rsidRDefault="00E64512" w:rsidP="00E64512">
      <w:pPr>
        <w:pStyle w:val="ae"/>
        <w:spacing w:before="80" w:line="360" w:lineRule="atLeast"/>
        <w:jc w:val="both"/>
        <w:rPr>
          <w:rFonts w:ascii="Times New Roman" w:hAnsi="Times New Roman"/>
          <w:sz w:val="24"/>
          <w:szCs w:val="24"/>
        </w:rPr>
      </w:pPr>
    </w:p>
    <w:p w:rsidR="00E64512" w:rsidRPr="002A7A89" w:rsidRDefault="00E64512" w:rsidP="00E64512">
      <w:pPr>
        <w:pStyle w:val="ae"/>
        <w:jc w:val="both"/>
        <w:rPr>
          <w:rFonts w:ascii="Times New Roman" w:hAnsi="Times New Roman"/>
          <w:sz w:val="25"/>
          <w:szCs w:val="25"/>
        </w:rPr>
      </w:pPr>
      <w:r w:rsidRPr="002A7A89">
        <w:rPr>
          <w:rFonts w:ascii="Times New Roman" w:hAnsi="Times New Roman"/>
          <w:sz w:val="25"/>
          <w:szCs w:val="25"/>
        </w:rPr>
        <w:t xml:space="preserve">Η χειμερινή εκπτωτική περίοδος όσον αφορά τις πωλήσεις κινήθηκε για την πλειονότητα των επιχειρήσεων σε χαμηλότερα επίπεδα από την αντίστοιχη περσινή. Αναλυτικότερα, εφτά στις δέκα επιχειρήσεις είδαν τις πωλήσεις τους να είναι σε χαμηλότερα επίπεδα το 2015 σε σύγκριση με το 2014, περίπου μία στις τέσσερις στα ίδια επίπεδα και μία στις δέκα να έχει υψηλότερες. Ο κλάδος που δέχθηκε την μεγαλύτερη πίεση είναι της ένδυσης – υπόδησης, όπου το ποσοστό των επιχειρήσεων με χαμηλότερο τζίρο σε σχέση με πέρσι ανέρχεται στο 76,5%. </w:t>
      </w:r>
      <w:r>
        <w:rPr>
          <w:rFonts w:ascii="Times New Roman" w:hAnsi="Times New Roman"/>
          <w:sz w:val="25"/>
          <w:szCs w:val="25"/>
        </w:rPr>
        <w:t>Επίσης,</w:t>
      </w:r>
      <w:r w:rsidRPr="002A7A89">
        <w:rPr>
          <w:rFonts w:ascii="Times New Roman" w:hAnsi="Times New Roman"/>
          <w:sz w:val="25"/>
          <w:szCs w:val="25"/>
        </w:rPr>
        <w:t xml:space="preserve"> οχτώ στις δέκα επιχειρήσεις με κύκλο εργασιών το 2014 πάνω από 30.000€ παρουσίασαν μικρότερο τζίρο την χειμερινή εκπτωτική περίοδο του 2015 σε σύγκριση με το 2014. </w:t>
      </w:r>
    </w:p>
    <w:p w:rsidR="00E64512" w:rsidRDefault="00E64512" w:rsidP="00E64512">
      <w:pPr>
        <w:pStyle w:val="ae"/>
        <w:spacing w:before="80" w:line="360" w:lineRule="atLeast"/>
        <w:jc w:val="both"/>
        <w:rPr>
          <w:rFonts w:ascii="Times New Roman" w:hAnsi="Times New Roman"/>
          <w:sz w:val="24"/>
          <w:szCs w:val="24"/>
        </w:rPr>
      </w:pPr>
    </w:p>
    <w:p w:rsidR="00E64512" w:rsidRPr="003D3821" w:rsidRDefault="00E64512" w:rsidP="00E64512">
      <w:pPr>
        <w:pStyle w:val="ae"/>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4579605" cy="2870791"/>
            <wp:effectExtent l="19050" t="0" r="11445" b="5759"/>
            <wp:docPr id="3" name="Γράφημα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512" w:rsidRPr="0093437F" w:rsidRDefault="00E64512" w:rsidP="00E64512">
      <w:pPr>
        <w:pStyle w:val="ae"/>
        <w:jc w:val="center"/>
        <w:rPr>
          <w:rFonts w:ascii="Times New Roman" w:hAnsi="Times New Roman"/>
          <w:sz w:val="24"/>
          <w:szCs w:val="24"/>
        </w:rPr>
      </w:pPr>
    </w:p>
    <w:p w:rsidR="00E64512" w:rsidRDefault="00E64512" w:rsidP="00E64512">
      <w:pPr>
        <w:pStyle w:val="ae"/>
        <w:jc w:val="both"/>
        <w:rPr>
          <w:rFonts w:ascii="Times New Roman" w:hAnsi="Times New Roman"/>
          <w:sz w:val="24"/>
          <w:szCs w:val="24"/>
        </w:rPr>
      </w:pPr>
      <w:r>
        <w:rPr>
          <w:rFonts w:ascii="Times New Roman" w:hAnsi="Times New Roman"/>
          <w:sz w:val="24"/>
          <w:szCs w:val="24"/>
        </w:rPr>
        <w:t>.</w:t>
      </w: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Pr="002A7A89" w:rsidRDefault="00E64512" w:rsidP="00E64512">
      <w:pPr>
        <w:pStyle w:val="ae"/>
        <w:jc w:val="both"/>
        <w:rPr>
          <w:rFonts w:ascii="Times New Roman" w:hAnsi="Times New Roman"/>
          <w:sz w:val="25"/>
          <w:szCs w:val="25"/>
        </w:rPr>
      </w:pPr>
      <w:r w:rsidRPr="002A7A89">
        <w:rPr>
          <w:rFonts w:ascii="Times New Roman" w:hAnsi="Times New Roman"/>
          <w:sz w:val="25"/>
          <w:szCs w:val="25"/>
        </w:rPr>
        <w:lastRenderedPageBreak/>
        <w:t>Όσον αφορά το μέγεθος της μείωσης των πωλήσεων σε σύγκριση με το 2014 διαπιστώθηκε ότι μία στις τέσσερις επιχειρήσεις εμφάνισε απώλεια τζίρου μεγαλύτερη του 40%, μία στις πέντε 31% με 40%, μία στις τέσσερις 21% με 30% καθώς και 11% με 20% και τέλος μόλις μία στις δέκα είχε μικρότερες πωλήσεις μεταξύ 1% έως 10%.</w:t>
      </w:r>
    </w:p>
    <w:p w:rsidR="00E64512" w:rsidRDefault="00E64512" w:rsidP="00E64512">
      <w:pPr>
        <w:pStyle w:val="ae"/>
        <w:spacing w:before="80" w:line="360" w:lineRule="atLeast"/>
        <w:jc w:val="both"/>
        <w:rPr>
          <w:rFonts w:ascii="Times New Roman" w:hAnsi="Times New Roman"/>
          <w:sz w:val="24"/>
          <w:szCs w:val="24"/>
        </w:rPr>
      </w:pPr>
    </w:p>
    <w:p w:rsidR="00E64512" w:rsidRDefault="00E64512" w:rsidP="00E64512">
      <w:pPr>
        <w:pStyle w:val="ae"/>
        <w:spacing w:before="80" w:line="360" w:lineRule="atLeast"/>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4575485" cy="2641792"/>
            <wp:effectExtent l="19050" t="0" r="15565" b="6158"/>
            <wp:docPr id="2" name="Γράφημ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512" w:rsidRDefault="00E64512" w:rsidP="00E64512">
      <w:pPr>
        <w:pStyle w:val="ae"/>
        <w:spacing w:before="80" w:line="360" w:lineRule="atLeast"/>
        <w:rPr>
          <w:rFonts w:ascii="Times New Roman" w:hAnsi="Times New Roman"/>
          <w:sz w:val="24"/>
          <w:szCs w:val="24"/>
        </w:rPr>
      </w:pPr>
    </w:p>
    <w:p w:rsidR="00E64512" w:rsidRPr="00ED5D25" w:rsidRDefault="00E64512" w:rsidP="00E64512">
      <w:pPr>
        <w:pStyle w:val="ae"/>
        <w:jc w:val="both"/>
        <w:rPr>
          <w:rFonts w:ascii="Times New Roman" w:hAnsi="Times New Roman"/>
          <w:sz w:val="25"/>
          <w:szCs w:val="25"/>
        </w:rPr>
      </w:pPr>
      <w:r w:rsidRPr="00ED5D25">
        <w:rPr>
          <w:rFonts w:ascii="Times New Roman" w:hAnsi="Times New Roman"/>
          <w:sz w:val="25"/>
          <w:szCs w:val="25"/>
        </w:rPr>
        <w:t>Οι επιχειρήσεις που δήλωσαν ότι οι πωλήσεις τους αυξήθηκαν σε σύγκριση με την αντίστοιχη περσινή περίοδο, παρουσιάζουν πολύ μικρά ποσοστά αύξησης. Συγκεκριμένα το 71% των περιπτώσεων δήλωσε ότι παρουσίασε αύξηση των πωλήσεων μεταξύ 1% και 10%, ενώ οι υπόλοιπες μεταξύ 11% και 20%.</w:t>
      </w:r>
    </w:p>
    <w:p w:rsidR="00E64512" w:rsidRDefault="00E64512" w:rsidP="00E64512">
      <w:pPr>
        <w:pStyle w:val="ae"/>
        <w:spacing w:before="80" w:line="360" w:lineRule="atLeast"/>
        <w:jc w:val="both"/>
        <w:rPr>
          <w:rFonts w:ascii="Times New Roman" w:hAnsi="Times New Roman"/>
          <w:sz w:val="24"/>
          <w:szCs w:val="24"/>
        </w:rPr>
      </w:pPr>
    </w:p>
    <w:p w:rsidR="00E64512" w:rsidRPr="008F5F6F" w:rsidRDefault="00E64512" w:rsidP="00E64512">
      <w:pPr>
        <w:pStyle w:val="ae"/>
        <w:spacing w:before="80" w:line="360" w:lineRule="atLeast"/>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4575485" cy="2663057"/>
            <wp:effectExtent l="19050" t="0" r="15565" b="3943"/>
            <wp:docPr id="5" name="Εικόνα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512" w:rsidRDefault="00E64512" w:rsidP="00E64512">
      <w:pPr>
        <w:pStyle w:val="ae"/>
        <w:spacing w:before="80" w:line="360" w:lineRule="atLeast"/>
        <w:jc w:val="both"/>
        <w:rPr>
          <w:rFonts w:ascii="Times New Roman" w:hAnsi="Times New Roman"/>
          <w:sz w:val="24"/>
          <w:szCs w:val="24"/>
        </w:rPr>
      </w:pPr>
    </w:p>
    <w:p w:rsidR="00E64512" w:rsidRDefault="00E64512" w:rsidP="00E64512">
      <w:pPr>
        <w:pStyle w:val="ae"/>
        <w:spacing w:before="80" w:line="360" w:lineRule="atLeast"/>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p>
    <w:p w:rsidR="00E64512" w:rsidRDefault="00E64512" w:rsidP="00E64512">
      <w:pPr>
        <w:pStyle w:val="ae"/>
        <w:jc w:val="both"/>
        <w:rPr>
          <w:rFonts w:ascii="Times New Roman" w:hAnsi="Times New Roman"/>
          <w:sz w:val="24"/>
          <w:szCs w:val="24"/>
        </w:rPr>
      </w:pPr>
      <w:r>
        <w:rPr>
          <w:rFonts w:ascii="Times New Roman" w:hAnsi="Times New Roman"/>
          <w:sz w:val="24"/>
          <w:szCs w:val="24"/>
        </w:rPr>
        <w:t>Οι ερωτώμενοι σε ποσοστό 55%, δήλωσαν ότι η καλύτερη περίοδος των χειμερινών εκπτώσεων ήταν από τις 12/2/2015 έως 31/1/2015, ακολουθεί η περίοδος 1/2/2015 έως 15/2/2015 με ποσοστό 30% και τέλος η περίοδος 16/2/2015 έως το τέλος των εκπτώσεων.</w:t>
      </w:r>
    </w:p>
    <w:p w:rsidR="00E64512" w:rsidRDefault="00E64512" w:rsidP="00E64512">
      <w:pPr>
        <w:pStyle w:val="ae"/>
        <w:jc w:val="both"/>
        <w:rPr>
          <w:rFonts w:ascii="Times New Roman" w:hAnsi="Times New Roman"/>
          <w:sz w:val="24"/>
          <w:szCs w:val="24"/>
        </w:rPr>
      </w:pPr>
    </w:p>
    <w:p w:rsidR="00E64512" w:rsidRDefault="00E64512" w:rsidP="00E64512">
      <w:pPr>
        <w:pStyle w:val="ae"/>
        <w:spacing w:before="80" w:line="360" w:lineRule="atLeast"/>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4575485" cy="2694955"/>
            <wp:effectExtent l="19050" t="0" r="15565" b="0"/>
            <wp:docPr id="6" name="Εικόνα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512" w:rsidRPr="00BF2B7E" w:rsidRDefault="00E64512" w:rsidP="00E64512">
      <w:pPr>
        <w:pStyle w:val="ae"/>
        <w:spacing w:before="80"/>
        <w:jc w:val="both"/>
        <w:rPr>
          <w:rFonts w:ascii="Times New Roman" w:hAnsi="Times New Roman"/>
          <w:sz w:val="24"/>
          <w:szCs w:val="24"/>
        </w:rPr>
      </w:pPr>
    </w:p>
    <w:p w:rsidR="00E64512" w:rsidRDefault="00E64512" w:rsidP="00E64512">
      <w:pPr>
        <w:spacing w:after="0" w:line="240" w:lineRule="auto"/>
        <w:jc w:val="both"/>
        <w:rPr>
          <w:rFonts w:ascii="Times New Roman" w:hAnsi="Times New Roman"/>
          <w:sz w:val="25"/>
          <w:szCs w:val="25"/>
        </w:rPr>
      </w:pPr>
      <w:r w:rsidRPr="00ED5D25">
        <w:rPr>
          <w:rFonts w:ascii="Times New Roman" w:hAnsi="Times New Roman"/>
          <w:sz w:val="25"/>
          <w:szCs w:val="25"/>
        </w:rPr>
        <w:t>Στο πλαίσιο της έρευνας, οι έμποροι ρωτήθηκαν εάν, σύμφωνα με την δυνατότητα που τους εκχωρεί η υπουργική απόφαση, άνοιξαν τα καταστήματά τους την Κυριακή 18 Ιανουαρίου.  Για τα καταστήματα που άνοιξαν παρατηρείται ότι η συντριπτική πλειονότητα των επιχειρηματιών, της τάξης του 92%, πιστεύει ότι το άνοιγμα του καταστήματος την Κυριακή δεν επηρέασε τον συνολικό τζίρο της χειμερινής εκπτωτικής περιόδου και μόλις το 8% δηλώνει ότι επηρέασε θετικά τον συνολικό ύψος των πωλήσεων.</w:t>
      </w:r>
    </w:p>
    <w:p w:rsidR="00E64512" w:rsidRPr="00ED5D25" w:rsidRDefault="00E64512" w:rsidP="00E64512">
      <w:pPr>
        <w:spacing w:after="0" w:line="240" w:lineRule="auto"/>
        <w:jc w:val="both"/>
        <w:rPr>
          <w:rFonts w:ascii="Times New Roman" w:hAnsi="Times New Roman"/>
          <w:sz w:val="25"/>
          <w:szCs w:val="25"/>
        </w:rPr>
      </w:pPr>
    </w:p>
    <w:p w:rsidR="00E64512" w:rsidRPr="005756C6" w:rsidRDefault="00E64512" w:rsidP="00E64512">
      <w:pPr>
        <w:pStyle w:val="ae"/>
        <w:spacing w:line="360" w:lineRule="atLeast"/>
        <w:jc w:val="both"/>
        <w:rPr>
          <w:rFonts w:ascii="Times New Roman" w:hAnsi="Times New Roman"/>
          <w:sz w:val="24"/>
          <w:szCs w:val="24"/>
        </w:rPr>
      </w:pPr>
    </w:p>
    <w:p w:rsidR="00E64512" w:rsidRPr="008F75EC" w:rsidRDefault="00E64512" w:rsidP="00E64512">
      <w:pPr>
        <w:pStyle w:val="ae"/>
        <w:spacing w:line="360" w:lineRule="atLeast"/>
        <w:jc w:val="center"/>
        <w:rPr>
          <w:rFonts w:ascii="Times New Roman" w:hAnsi="Times New Roman"/>
          <w:sz w:val="24"/>
          <w:szCs w:val="24"/>
          <w:lang w:val="en-GB"/>
        </w:rPr>
      </w:pPr>
      <w:r>
        <w:rPr>
          <w:rFonts w:ascii="Times New Roman" w:hAnsi="Times New Roman"/>
          <w:noProof/>
          <w:sz w:val="24"/>
          <w:szCs w:val="24"/>
          <w:lang w:eastAsia="el-GR"/>
        </w:rPr>
        <w:drawing>
          <wp:inline distT="0" distB="0" distL="0" distR="0">
            <wp:extent cx="4581982" cy="3019647"/>
            <wp:effectExtent l="19050" t="0" r="28118" b="9303"/>
            <wp:docPr id="7" name="Εικόνα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4512" w:rsidRPr="001630AE"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jc w:val="both"/>
        <w:rPr>
          <w:rFonts w:ascii="Times New Roman" w:hAnsi="Times New Roman"/>
          <w:sz w:val="25"/>
          <w:szCs w:val="25"/>
        </w:rPr>
      </w:pPr>
    </w:p>
    <w:p w:rsidR="00E64512" w:rsidRDefault="00E64512" w:rsidP="00E64512">
      <w:pPr>
        <w:pStyle w:val="ae"/>
        <w:jc w:val="both"/>
        <w:rPr>
          <w:rFonts w:ascii="Times New Roman" w:hAnsi="Times New Roman"/>
          <w:sz w:val="25"/>
          <w:szCs w:val="25"/>
        </w:rPr>
      </w:pPr>
    </w:p>
    <w:p w:rsidR="00E64512" w:rsidRPr="00ED5D25" w:rsidRDefault="00E64512" w:rsidP="00E64512">
      <w:pPr>
        <w:pStyle w:val="ae"/>
        <w:jc w:val="both"/>
        <w:rPr>
          <w:rFonts w:ascii="Times New Roman" w:hAnsi="Times New Roman"/>
          <w:sz w:val="25"/>
          <w:szCs w:val="25"/>
        </w:rPr>
      </w:pPr>
      <w:r w:rsidRPr="00ED5D25">
        <w:rPr>
          <w:rFonts w:ascii="Times New Roman" w:hAnsi="Times New Roman"/>
          <w:sz w:val="25"/>
          <w:szCs w:val="25"/>
        </w:rPr>
        <w:t>Όπως είναι φανερό από τις απαντήσεις της ερώτησης, με ποιον τρόπο καλύπτουν οι επιχειρηματίες την ανάγκη απασχόλησης προσωπικού, το άνοιγμα των καταστημάτων τις Κυριακές δεν είχε ως αποτέλεσμα την αύξηση της απασχόλησης. Μόλις το 4% δηλώνει ότι έχει προσλάβει επιπλέον υπάλληλο λόγω του ότι ανοίγει τις Κυριακές. Η πλειονότητα σε ποσοστό 62% έχει επωμιστεί προσωπικά την κάλυψη της συγκεκριμένης ανάγκης και το υπόλοιπο 35% των επιχειρήσεων έχει επεκτείνει το ωράριο των ήδη υπαρχόντων υπαλλήλων.</w:t>
      </w:r>
    </w:p>
    <w:p w:rsidR="00E64512" w:rsidRDefault="00E64512" w:rsidP="00E64512">
      <w:pPr>
        <w:rPr>
          <w:rFonts w:ascii="Times New Roman" w:hAnsi="Times New Roman"/>
          <w:sz w:val="24"/>
          <w:szCs w:val="24"/>
        </w:rPr>
      </w:pPr>
    </w:p>
    <w:p w:rsidR="00E64512" w:rsidRPr="00595DBD" w:rsidRDefault="00E64512" w:rsidP="00E64512">
      <w:pPr>
        <w:pStyle w:val="ae"/>
        <w:spacing w:line="360" w:lineRule="atLeast"/>
        <w:jc w:val="center"/>
        <w:rPr>
          <w:rFonts w:ascii="Times New Roman" w:hAnsi="Times New Roman"/>
          <w:sz w:val="24"/>
          <w:szCs w:val="24"/>
          <w:lang w:val="en-GB"/>
        </w:rPr>
      </w:pPr>
      <w:r>
        <w:rPr>
          <w:rFonts w:ascii="Times New Roman" w:hAnsi="Times New Roman"/>
          <w:noProof/>
          <w:sz w:val="24"/>
          <w:szCs w:val="24"/>
          <w:lang w:eastAsia="el-GR"/>
        </w:rPr>
        <w:drawing>
          <wp:inline distT="0" distB="0" distL="0" distR="0">
            <wp:extent cx="4584685" cy="3115339"/>
            <wp:effectExtent l="19050" t="0" r="25415" b="8861"/>
            <wp:docPr id="8" name="Εικόνα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4512" w:rsidRDefault="00E64512" w:rsidP="00E64512">
      <w:pPr>
        <w:pStyle w:val="ae"/>
        <w:spacing w:line="360" w:lineRule="atLeast"/>
        <w:jc w:val="center"/>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pStyle w:val="ae"/>
        <w:spacing w:line="360" w:lineRule="atLeast"/>
        <w:jc w:val="both"/>
        <w:rPr>
          <w:rFonts w:ascii="Times New Roman" w:hAnsi="Times New Roman"/>
          <w:sz w:val="24"/>
          <w:szCs w:val="24"/>
        </w:rPr>
      </w:pPr>
    </w:p>
    <w:p w:rsidR="00E64512" w:rsidRDefault="00E64512" w:rsidP="00E64512">
      <w:pPr>
        <w:spacing w:after="0" w:line="240" w:lineRule="auto"/>
        <w:jc w:val="both"/>
        <w:rPr>
          <w:rFonts w:ascii="Times New Roman" w:hAnsi="Times New Roman"/>
          <w:sz w:val="25"/>
          <w:szCs w:val="25"/>
        </w:rPr>
      </w:pPr>
      <w:r w:rsidRPr="00ED5D25">
        <w:rPr>
          <w:rFonts w:ascii="Times New Roman" w:hAnsi="Times New Roman"/>
          <w:sz w:val="25"/>
          <w:szCs w:val="25"/>
        </w:rPr>
        <w:lastRenderedPageBreak/>
        <w:t>Όσον αφορά το λειτουργικό κόστος της επιχείρησης, το 44% των επιχειρήσεων απάντησαν ότι επιβαρύνεται είτε πάρα πολύ είτε πολύ από το άνοιγμα των Κυριακών, το ίδιο ποσοστό 44% απάντησε λίγο, ενώ το 12% δήλωσε ότι δεν έχει επιβαρυνθεί καθόλου.</w:t>
      </w:r>
    </w:p>
    <w:p w:rsidR="00E64512" w:rsidRPr="00ED5D25" w:rsidRDefault="00E64512" w:rsidP="00E64512">
      <w:pPr>
        <w:spacing w:after="0" w:line="240" w:lineRule="auto"/>
        <w:jc w:val="both"/>
        <w:rPr>
          <w:rFonts w:ascii="Times New Roman" w:hAnsi="Times New Roman"/>
          <w:sz w:val="25"/>
          <w:szCs w:val="25"/>
        </w:rPr>
      </w:pPr>
    </w:p>
    <w:p w:rsidR="00E64512" w:rsidRPr="00595DBD" w:rsidRDefault="00E64512" w:rsidP="00E64512">
      <w:pPr>
        <w:spacing w:line="360" w:lineRule="atLeast"/>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4574659" cy="2747896"/>
            <wp:effectExtent l="12197" t="6099" r="6099" b="0"/>
            <wp:docPr id="9" name="Γράφημα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4512" w:rsidRDefault="00E64512" w:rsidP="00E64512">
      <w:pPr>
        <w:spacing w:after="0" w:line="240" w:lineRule="auto"/>
        <w:jc w:val="both"/>
        <w:rPr>
          <w:rFonts w:ascii="Times New Roman" w:hAnsi="Times New Roman"/>
          <w:sz w:val="25"/>
          <w:szCs w:val="25"/>
        </w:rPr>
      </w:pPr>
    </w:p>
    <w:p w:rsidR="00E64512" w:rsidRPr="00ED5D25" w:rsidRDefault="00E64512" w:rsidP="00E64512">
      <w:pPr>
        <w:spacing w:after="0" w:line="240" w:lineRule="auto"/>
        <w:jc w:val="both"/>
        <w:rPr>
          <w:rFonts w:ascii="Times New Roman" w:hAnsi="Times New Roman"/>
          <w:sz w:val="25"/>
          <w:szCs w:val="25"/>
        </w:rPr>
      </w:pPr>
      <w:r w:rsidRPr="00ED5D25">
        <w:rPr>
          <w:rFonts w:ascii="Times New Roman" w:hAnsi="Times New Roman"/>
          <w:sz w:val="25"/>
          <w:szCs w:val="25"/>
        </w:rPr>
        <w:t xml:space="preserve">Τέλος, η </w:t>
      </w:r>
      <w:proofErr w:type="spellStart"/>
      <w:r w:rsidRPr="00ED5D25">
        <w:rPr>
          <w:rFonts w:ascii="Times New Roman" w:hAnsi="Times New Roman"/>
          <w:sz w:val="25"/>
          <w:szCs w:val="25"/>
        </w:rPr>
        <w:t>επισκεψιμότητα</w:t>
      </w:r>
      <w:proofErr w:type="spellEnd"/>
      <w:r w:rsidRPr="00ED5D25">
        <w:rPr>
          <w:rFonts w:ascii="Times New Roman" w:hAnsi="Times New Roman"/>
          <w:sz w:val="25"/>
          <w:szCs w:val="25"/>
        </w:rPr>
        <w:t>, σε εφτά στις δέκα επιχειρήσεις δεν έχει αυξηθεί καθόλου από το γεγονός ότι παραμένουν ανοιχτά τις Κυριακές. Το 28% των επιχειρηματιών διακρίνει μία μικρή αύξηση</w:t>
      </w:r>
      <w:r>
        <w:rPr>
          <w:rFonts w:ascii="Times New Roman" w:hAnsi="Times New Roman"/>
          <w:sz w:val="25"/>
          <w:szCs w:val="25"/>
        </w:rPr>
        <w:t>,</w:t>
      </w:r>
      <w:r w:rsidRPr="00ED5D25">
        <w:rPr>
          <w:rFonts w:ascii="Times New Roman" w:hAnsi="Times New Roman"/>
          <w:sz w:val="25"/>
          <w:szCs w:val="25"/>
        </w:rPr>
        <w:t xml:space="preserve"> ενώ μόλις το 4% δηλώνει ότι το άνοιγμα της επιχείρησής του τις Κυριακές αύξησε κατά πολύ την </w:t>
      </w:r>
      <w:proofErr w:type="spellStart"/>
      <w:r w:rsidRPr="00ED5D25">
        <w:rPr>
          <w:rFonts w:ascii="Times New Roman" w:hAnsi="Times New Roman"/>
          <w:sz w:val="25"/>
          <w:szCs w:val="25"/>
        </w:rPr>
        <w:t>επισκεψιμότητα</w:t>
      </w:r>
      <w:proofErr w:type="spellEnd"/>
      <w:r w:rsidRPr="00ED5D25">
        <w:rPr>
          <w:rFonts w:ascii="Times New Roman" w:hAnsi="Times New Roman"/>
          <w:sz w:val="25"/>
          <w:szCs w:val="25"/>
        </w:rPr>
        <w:t xml:space="preserve">. </w:t>
      </w:r>
    </w:p>
    <w:p w:rsidR="00E64512" w:rsidRDefault="00E64512" w:rsidP="00E64512">
      <w:pPr>
        <w:spacing w:line="360" w:lineRule="atLeast"/>
        <w:jc w:val="both"/>
        <w:rPr>
          <w:rFonts w:ascii="Times New Roman" w:hAnsi="Times New Roman"/>
          <w:sz w:val="24"/>
          <w:szCs w:val="24"/>
        </w:rPr>
      </w:pPr>
    </w:p>
    <w:p w:rsidR="00E64512" w:rsidRDefault="00E64512" w:rsidP="00E64512">
      <w:pPr>
        <w:spacing w:line="360" w:lineRule="atLeast"/>
        <w:jc w:val="center"/>
        <w:rPr>
          <w:rFonts w:ascii="Times New Roman" w:hAnsi="Times New Roman"/>
          <w:noProof/>
          <w:sz w:val="24"/>
          <w:szCs w:val="24"/>
          <w:lang w:eastAsia="el-GR"/>
        </w:rPr>
      </w:pPr>
      <w:r>
        <w:rPr>
          <w:rFonts w:ascii="Times New Roman" w:hAnsi="Times New Roman"/>
          <w:noProof/>
          <w:sz w:val="24"/>
          <w:szCs w:val="24"/>
          <w:lang w:eastAsia="el-GR"/>
        </w:rPr>
        <w:drawing>
          <wp:inline distT="0" distB="0" distL="0" distR="0">
            <wp:extent cx="4564540" cy="2567322"/>
            <wp:effectExtent l="12170" t="5698" r="6085" b="0"/>
            <wp:docPr id="10" name="Γράφημα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4512" w:rsidRDefault="00E64512" w:rsidP="00E64512">
      <w:pPr>
        <w:spacing w:line="360" w:lineRule="atLeast"/>
        <w:jc w:val="center"/>
        <w:rPr>
          <w:rFonts w:ascii="Times New Roman" w:hAnsi="Times New Roman"/>
          <w:noProof/>
          <w:sz w:val="24"/>
          <w:szCs w:val="24"/>
          <w:lang w:eastAsia="el-GR"/>
        </w:rPr>
      </w:pPr>
    </w:p>
    <w:p w:rsidR="00171921" w:rsidRDefault="00171921" w:rsidP="00E64512">
      <w:pPr>
        <w:spacing w:line="360" w:lineRule="atLeast"/>
        <w:jc w:val="center"/>
        <w:rPr>
          <w:rFonts w:ascii="Times New Roman" w:hAnsi="Times New Roman"/>
          <w:noProof/>
          <w:sz w:val="24"/>
          <w:szCs w:val="24"/>
          <w:lang w:eastAsia="el-GR"/>
        </w:rPr>
      </w:pPr>
    </w:p>
    <w:p w:rsidR="00171921" w:rsidRDefault="00171921" w:rsidP="00E64512">
      <w:pPr>
        <w:spacing w:line="360" w:lineRule="atLeast"/>
        <w:jc w:val="center"/>
        <w:rPr>
          <w:rFonts w:ascii="Times New Roman" w:hAnsi="Times New Roman"/>
          <w:noProof/>
          <w:sz w:val="24"/>
          <w:szCs w:val="24"/>
          <w:lang w:eastAsia="el-GR"/>
        </w:rPr>
      </w:pPr>
    </w:p>
    <w:p w:rsidR="00171921" w:rsidRDefault="00171921" w:rsidP="00E64512">
      <w:pPr>
        <w:spacing w:line="360" w:lineRule="atLeast"/>
        <w:jc w:val="center"/>
        <w:rPr>
          <w:rFonts w:ascii="Times New Roman" w:hAnsi="Times New Roman"/>
          <w:noProof/>
          <w:sz w:val="24"/>
          <w:szCs w:val="24"/>
          <w:lang w:eastAsia="el-GR"/>
        </w:rPr>
      </w:pPr>
    </w:p>
    <w:p w:rsidR="00E64512" w:rsidRDefault="00E64512" w:rsidP="00E64512">
      <w:pPr>
        <w:spacing w:line="360" w:lineRule="atLeast"/>
        <w:jc w:val="center"/>
        <w:rPr>
          <w:rFonts w:ascii="Times New Roman" w:hAnsi="Times New Roman"/>
          <w:noProof/>
          <w:sz w:val="24"/>
          <w:szCs w:val="24"/>
          <w:lang w:eastAsia="el-GR"/>
        </w:rPr>
      </w:pPr>
    </w:p>
    <w:p w:rsidR="00E64512" w:rsidRDefault="00E64512" w:rsidP="00E64512">
      <w:pPr>
        <w:spacing w:line="360" w:lineRule="atLeast"/>
        <w:jc w:val="center"/>
        <w:rPr>
          <w:rFonts w:ascii="Times New Roman" w:hAnsi="Times New Roman"/>
          <w:noProof/>
          <w:sz w:val="24"/>
          <w:szCs w:val="24"/>
          <w:lang w:eastAsia="el-GR"/>
        </w:rPr>
      </w:pPr>
    </w:p>
    <w:tbl>
      <w:tblPr>
        <w:tblW w:w="98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3"/>
        <w:gridCol w:w="6480"/>
      </w:tblGrid>
      <w:tr w:rsidR="00E64512" w:rsidRPr="00F74646" w:rsidTr="00FA3F72">
        <w:trPr>
          <w:trHeight w:val="803"/>
        </w:trPr>
        <w:tc>
          <w:tcPr>
            <w:tcW w:w="9813" w:type="dxa"/>
            <w:gridSpan w:val="2"/>
            <w:shd w:val="clear" w:color="auto" w:fill="BFBFBF"/>
            <w:vAlign w:val="center"/>
          </w:tcPr>
          <w:p w:rsidR="00E64512" w:rsidRPr="001630AE" w:rsidRDefault="00E64512" w:rsidP="0058565E">
            <w:pPr>
              <w:spacing w:after="0" w:line="240" w:lineRule="auto"/>
              <w:jc w:val="center"/>
              <w:rPr>
                <w:rFonts w:ascii="Times New Roman" w:hAnsi="Times New Roman"/>
                <w:b/>
                <w:bCs/>
                <w:lang w:eastAsia="el-GR"/>
              </w:rPr>
            </w:pPr>
            <w:r w:rsidRPr="001630AE">
              <w:rPr>
                <w:rFonts w:ascii="Times New Roman" w:hAnsi="Times New Roman"/>
                <w:b/>
                <w:bCs/>
                <w:lang w:eastAsia="el-GR"/>
              </w:rPr>
              <w:t xml:space="preserve">Πίνακας </w:t>
            </w:r>
            <w:r w:rsidR="0058565E">
              <w:rPr>
                <w:rFonts w:ascii="Times New Roman" w:hAnsi="Times New Roman"/>
                <w:b/>
                <w:bCs/>
                <w:lang w:eastAsia="el-GR"/>
              </w:rPr>
              <w:t>1</w:t>
            </w:r>
            <w:r w:rsidRPr="001630AE">
              <w:rPr>
                <w:rFonts w:ascii="Times New Roman" w:hAnsi="Times New Roman"/>
                <w:b/>
                <w:bCs/>
                <w:lang w:eastAsia="el-GR"/>
              </w:rPr>
              <w:t>: Εκτιμήσεις Εμπορικών Συλλόγων για την εξέλιξη του κύκλου εργασιών κατά τη διάρκεια των Χειμερινών Εκπτώσεων</w:t>
            </w:r>
          </w:p>
        </w:tc>
      </w:tr>
      <w:tr w:rsidR="00E64512" w:rsidRPr="00F74646" w:rsidTr="00FA3F72">
        <w:trPr>
          <w:trHeight w:val="1188"/>
        </w:trPr>
        <w:tc>
          <w:tcPr>
            <w:tcW w:w="3333" w:type="dxa"/>
            <w:shd w:val="clear" w:color="auto" w:fill="BFBFBF"/>
            <w:vAlign w:val="center"/>
          </w:tcPr>
          <w:p w:rsidR="00E64512" w:rsidRPr="00F74646" w:rsidRDefault="00E64512" w:rsidP="00FA3F72">
            <w:pPr>
              <w:spacing w:after="0" w:line="240" w:lineRule="auto"/>
              <w:jc w:val="center"/>
              <w:rPr>
                <w:rFonts w:ascii="Times New Roman" w:hAnsi="Times New Roman"/>
                <w:b/>
                <w:bCs/>
                <w:sz w:val="26"/>
                <w:szCs w:val="26"/>
                <w:lang w:eastAsia="el-GR"/>
              </w:rPr>
            </w:pPr>
            <w:r w:rsidRPr="00F74646">
              <w:rPr>
                <w:rFonts w:ascii="Times New Roman" w:hAnsi="Times New Roman"/>
                <w:b/>
                <w:bCs/>
                <w:sz w:val="26"/>
                <w:szCs w:val="26"/>
                <w:lang w:eastAsia="el-GR"/>
              </w:rPr>
              <w:t>Εμπορικοί Σύλλογοι</w:t>
            </w:r>
          </w:p>
        </w:tc>
        <w:tc>
          <w:tcPr>
            <w:tcW w:w="6480" w:type="dxa"/>
            <w:shd w:val="clear" w:color="auto" w:fill="BFBFBF"/>
            <w:vAlign w:val="center"/>
          </w:tcPr>
          <w:p w:rsidR="00E64512" w:rsidRPr="001630AE" w:rsidRDefault="00E64512" w:rsidP="00FA3F72">
            <w:pPr>
              <w:spacing w:after="0" w:line="240" w:lineRule="auto"/>
              <w:jc w:val="center"/>
              <w:rPr>
                <w:rFonts w:ascii="Times New Roman" w:hAnsi="Times New Roman"/>
                <w:b/>
                <w:bCs/>
                <w:lang w:eastAsia="el-GR"/>
              </w:rPr>
            </w:pPr>
            <w:r w:rsidRPr="001630AE">
              <w:rPr>
                <w:rFonts w:ascii="Times New Roman" w:hAnsi="Times New Roman"/>
                <w:b/>
                <w:bCs/>
                <w:lang w:eastAsia="el-GR"/>
              </w:rPr>
              <w:t>Μεταβολή (%) τζίρου κατά τη διάρκεια των Χειμερινών Εκπτώσεων 2015/2014</w:t>
            </w:r>
          </w:p>
        </w:tc>
      </w:tr>
      <w:tr w:rsidR="00E64512" w:rsidRPr="00F74646" w:rsidTr="00FA3F72">
        <w:tc>
          <w:tcPr>
            <w:tcW w:w="3333" w:type="dxa"/>
            <w:vMerge w:val="restart"/>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w:t>
            </w:r>
            <w:r w:rsidRPr="00F74646">
              <w:rPr>
                <w:rFonts w:ascii="Times New Roman" w:hAnsi="Times New Roman"/>
                <w:lang w:eastAsia="el-GR"/>
              </w:rPr>
              <w:t xml:space="preserve">  Ε.Σ.  Αθηνών</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Cs/>
                <w:lang w:eastAsia="el-GR"/>
              </w:rPr>
              <w:t>Κέντρο:</w:t>
            </w:r>
            <w:r w:rsidRPr="00F74646">
              <w:rPr>
                <w:rFonts w:ascii="Times New Roman" w:hAnsi="Times New Roman"/>
                <w:b/>
                <w:bCs/>
                <w:lang w:eastAsia="el-GR"/>
              </w:rPr>
              <w:t xml:space="preserve"> Πτώση </w:t>
            </w:r>
            <w:r w:rsidRPr="00F74646">
              <w:rPr>
                <w:rFonts w:ascii="Times New Roman" w:hAnsi="Times New Roman"/>
                <w:bCs/>
                <w:lang w:eastAsia="el-GR"/>
              </w:rPr>
              <w:t>0-10%</w:t>
            </w:r>
          </w:p>
        </w:tc>
      </w:tr>
      <w:tr w:rsidR="00E64512" w:rsidRPr="00F74646" w:rsidTr="00FA3F72">
        <w:tc>
          <w:tcPr>
            <w:tcW w:w="3333" w:type="dxa"/>
            <w:vMerge/>
          </w:tcPr>
          <w:p w:rsidR="00E64512" w:rsidRPr="00F74646" w:rsidRDefault="00E64512" w:rsidP="00FA3F72">
            <w:pPr>
              <w:spacing w:after="0" w:line="240" w:lineRule="auto"/>
              <w:rPr>
                <w:rFonts w:ascii="Times New Roman" w:hAnsi="Times New Roman"/>
                <w:lang w:eastAsia="el-GR"/>
              </w:rPr>
            </w:pPr>
          </w:p>
        </w:tc>
        <w:tc>
          <w:tcPr>
            <w:tcW w:w="6480" w:type="dxa"/>
            <w:vAlign w:val="bottom"/>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lang w:eastAsia="el-GR"/>
              </w:rPr>
              <w:t xml:space="preserve">Περιφερειακές Αγορές:  </w:t>
            </w:r>
            <w:r w:rsidRPr="00F74646">
              <w:rPr>
                <w:rFonts w:ascii="Times New Roman" w:hAnsi="Times New Roman"/>
                <w:b/>
                <w:lang w:eastAsia="el-GR"/>
              </w:rPr>
              <w:t xml:space="preserve">Πτώση </w:t>
            </w:r>
            <w:r w:rsidRPr="00F74646">
              <w:rPr>
                <w:rFonts w:ascii="Times New Roman" w:hAnsi="Times New Roman"/>
                <w:lang w:eastAsia="el-GR"/>
              </w:rPr>
              <w:t>11-20%</w:t>
            </w:r>
          </w:p>
        </w:tc>
      </w:tr>
      <w:tr w:rsidR="00E64512" w:rsidRPr="00F74646" w:rsidTr="00FA3F72">
        <w:trPr>
          <w:trHeight w:val="253"/>
        </w:trPr>
        <w:tc>
          <w:tcPr>
            <w:tcW w:w="3333" w:type="dxa"/>
            <w:vMerge w:val="restart"/>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2.</w:t>
            </w:r>
            <w:r w:rsidRPr="00F74646">
              <w:rPr>
                <w:rFonts w:ascii="Times New Roman" w:hAnsi="Times New Roman"/>
                <w:lang w:eastAsia="el-GR"/>
              </w:rPr>
              <w:t xml:space="preserve">  Ε.Σ.  Θεσσαλονίκης</w:t>
            </w:r>
          </w:p>
        </w:tc>
        <w:tc>
          <w:tcPr>
            <w:tcW w:w="6480" w:type="dxa"/>
            <w:vMerge w:val="restart"/>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rPr>
          <w:trHeight w:val="253"/>
        </w:trPr>
        <w:tc>
          <w:tcPr>
            <w:tcW w:w="3333" w:type="dxa"/>
            <w:vMerge/>
          </w:tcPr>
          <w:p w:rsidR="00E64512" w:rsidRPr="00F74646" w:rsidRDefault="00E64512" w:rsidP="00FA3F72">
            <w:pPr>
              <w:spacing w:after="0" w:line="240" w:lineRule="auto"/>
              <w:rPr>
                <w:rFonts w:ascii="Times New Roman" w:hAnsi="Times New Roman"/>
                <w:b/>
                <w:lang w:eastAsia="el-GR"/>
              </w:rPr>
            </w:pPr>
          </w:p>
        </w:tc>
        <w:tc>
          <w:tcPr>
            <w:tcW w:w="6480" w:type="dxa"/>
            <w:vMerge/>
            <w:vAlign w:val="bottom"/>
          </w:tcPr>
          <w:p w:rsidR="00E64512" w:rsidRPr="00F74646" w:rsidRDefault="00E64512" w:rsidP="00FA3F72">
            <w:pPr>
              <w:spacing w:after="0" w:line="240" w:lineRule="auto"/>
              <w:jc w:val="center"/>
              <w:rPr>
                <w:rFonts w:ascii="Times New Roman" w:hAnsi="Times New Roman"/>
                <w:b/>
                <w:bCs/>
                <w:lang w:eastAsia="el-GR"/>
              </w:rPr>
            </w:pP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3.</w:t>
            </w:r>
            <w:r w:rsidRPr="00F74646">
              <w:rPr>
                <w:rFonts w:ascii="Times New Roman" w:hAnsi="Times New Roman"/>
                <w:lang w:eastAsia="el-GR"/>
              </w:rPr>
              <w:t xml:space="preserve">  Ε.Σ.  Πειραιώς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4.</w:t>
            </w:r>
            <w:r w:rsidRPr="00F74646">
              <w:rPr>
                <w:rFonts w:ascii="Times New Roman" w:hAnsi="Times New Roman"/>
                <w:lang w:eastAsia="el-GR"/>
              </w:rPr>
              <w:t xml:space="preserve">  Ε.Σ.  Πάτρας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5.  </w:t>
            </w:r>
            <w:r w:rsidRPr="00F74646">
              <w:rPr>
                <w:rFonts w:ascii="Times New Roman" w:hAnsi="Times New Roman"/>
                <w:lang w:eastAsia="el-GR"/>
              </w:rPr>
              <w:t>Ε.Σ.  Ηρακλείου</w:t>
            </w:r>
          </w:p>
        </w:tc>
        <w:tc>
          <w:tcPr>
            <w:tcW w:w="6480" w:type="dxa"/>
            <w:vAlign w:val="bottom"/>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6.</w:t>
            </w:r>
            <w:r w:rsidRPr="00F74646">
              <w:rPr>
                <w:rFonts w:ascii="Times New Roman" w:hAnsi="Times New Roman"/>
                <w:lang w:eastAsia="el-GR"/>
              </w:rPr>
              <w:t xml:space="preserve">  Ε.Σ.  Χανίων</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7.</w:t>
            </w:r>
            <w:r w:rsidRPr="00F74646">
              <w:rPr>
                <w:rFonts w:ascii="Times New Roman" w:hAnsi="Times New Roman"/>
                <w:lang w:eastAsia="el-GR"/>
              </w:rPr>
              <w:t xml:space="preserve">  Ε.Σ.  Βόλου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Πτώση</w:t>
            </w:r>
            <w:r w:rsidRPr="00F74646">
              <w:rPr>
                <w:rFonts w:ascii="Times New Roman" w:hAnsi="Times New Roman"/>
                <w:bCs/>
                <w:lang w:eastAsia="el-GR"/>
              </w:rPr>
              <w:t xml:space="preserve"> 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8.</w:t>
            </w:r>
            <w:r w:rsidRPr="00F74646">
              <w:rPr>
                <w:rFonts w:ascii="Times New Roman" w:hAnsi="Times New Roman"/>
                <w:lang w:eastAsia="el-GR"/>
              </w:rPr>
              <w:t xml:space="preserve">  Ε.Σ.  Λάρισας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9.</w:t>
            </w:r>
            <w:r w:rsidRPr="00F74646">
              <w:rPr>
                <w:rFonts w:ascii="Times New Roman" w:hAnsi="Times New Roman"/>
                <w:lang w:eastAsia="el-GR"/>
              </w:rPr>
              <w:t xml:space="preserve">  Ε.Σ.  Χαλανδρίου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μεγαλύτερη από </w:t>
            </w:r>
            <w:r w:rsidRPr="00F74646">
              <w:rPr>
                <w:rFonts w:ascii="Times New Roman" w:hAnsi="Times New Roman"/>
                <w:bCs/>
                <w:lang w:eastAsia="el-GR"/>
              </w:rPr>
              <w:t>41%</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10.</w:t>
            </w:r>
            <w:r w:rsidRPr="00F74646">
              <w:rPr>
                <w:rFonts w:ascii="Times New Roman" w:hAnsi="Times New Roman"/>
                <w:lang w:eastAsia="el-GR"/>
              </w:rPr>
              <w:t xml:space="preserve">  Ε.Σ.  Περιστερίου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11.</w:t>
            </w:r>
            <w:r w:rsidRPr="00F74646">
              <w:rPr>
                <w:rFonts w:ascii="Times New Roman" w:hAnsi="Times New Roman"/>
                <w:lang w:eastAsia="el-GR"/>
              </w:rPr>
              <w:t xml:space="preserve">  Ε.Σ.  Ν. Ιωνίας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31-40%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12.</w:t>
            </w:r>
            <w:r w:rsidRPr="00F74646">
              <w:rPr>
                <w:rFonts w:ascii="Times New Roman" w:hAnsi="Times New Roman"/>
                <w:lang w:eastAsia="el-GR"/>
              </w:rPr>
              <w:t xml:space="preserve">  Ε.Σ.  Παλαιού Φαλήρου</w:t>
            </w:r>
          </w:p>
        </w:tc>
        <w:tc>
          <w:tcPr>
            <w:tcW w:w="6480" w:type="dxa"/>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13.</w:t>
            </w:r>
            <w:r w:rsidRPr="00F74646">
              <w:rPr>
                <w:rFonts w:ascii="Times New Roman" w:hAnsi="Times New Roman"/>
                <w:lang w:eastAsia="el-GR"/>
              </w:rPr>
              <w:t xml:space="preserve">  Ε.Σ.  Νίκαιας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Σταθερότητα</w:t>
            </w:r>
            <w:r w:rsidRPr="00F74646">
              <w:rPr>
                <w:rFonts w:ascii="Times New Roman" w:hAnsi="Times New Roman"/>
                <w:lang w:eastAsia="el-GR"/>
              </w:rPr>
              <w:t xml:space="preserve"> (η αγορά κινήθηκε στα ίδια επίπεδα)</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14.</w:t>
            </w:r>
            <w:r w:rsidRPr="00F74646">
              <w:rPr>
                <w:rFonts w:ascii="Times New Roman" w:hAnsi="Times New Roman"/>
                <w:lang w:eastAsia="el-GR"/>
              </w:rPr>
              <w:t xml:space="preserve">  Ε.Σ.  Ιλίου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μεγαλύτερη από </w:t>
            </w:r>
            <w:r w:rsidRPr="00F74646">
              <w:rPr>
                <w:rFonts w:ascii="Times New Roman" w:hAnsi="Times New Roman"/>
                <w:bCs/>
                <w:lang w:eastAsia="el-GR"/>
              </w:rPr>
              <w:t>41%</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15.</w:t>
            </w:r>
            <w:r w:rsidRPr="00F74646">
              <w:rPr>
                <w:rFonts w:ascii="Times New Roman" w:hAnsi="Times New Roman"/>
                <w:lang w:eastAsia="el-GR"/>
              </w:rPr>
              <w:t xml:space="preserve">  Ε.Σ.  Γλυφάδας</w:t>
            </w:r>
          </w:p>
        </w:tc>
        <w:tc>
          <w:tcPr>
            <w:tcW w:w="6480" w:type="dxa"/>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16.</w:t>
            </w:r>
            <w:r w:rsidRPr="00F74646">
              <w:rPr>
                <w:rFonts w:ascii="Times New Roman" w:hAnsi="Times New Roman"/>
                <w:lang w:eastAsia="el-GR"/>
              </w:rPr>
              <w:t xml:space="preserve">  Ε.Σ.  Πατησίων</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17.</w:t>
            </w:r>
            <w:r w:rsidRPr="00F74646">
              <w:rPr>
                <w:rFonts w:ascii="Times New Roman" w:hAnsi="Times New Roman"/>
                <w:lang w:eastAsia="el-GR"/>
              </w:rPr>
              <w:t xml:space="preserve">  Ε.Σ.  Γαλατσίου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18.</w:t>
            </w:r>
            <w:r w:rsidRPr="00F74646">
              <w:rPr>
                <w:rFonts w:ascii="Times New Roman" w:hAnsi="Times New Roman"/>
                <w:lang w:eastAsia="el-GR"/>
              </w:rPr>
              <w:t xml:space="preserve"> Ε.Σ.  Κερατσινίου - Δραπετσώνας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19.  </w:t>
            </w:r>
            <w:r w:rsidRPr="00F74646">
              <w:rPr>
                <w:rFonts w:ascii="Times New Roman" w:hAnsi="Times New Roman"/>
                <w:lang w:eastAsia="el-GR"/>
              </w:rPr>
              <w:t>Ε.Σ.</w:t>
            </w:r>
            <w:r w:rsidRPr="00F74646">
              <w:rPr>
                <w:rFonts w:ascii="Times New Roman" w:hAnsi="Times New Roman"/>
                <w:b/>
                <w:lang w:eastAsia="el-GR"/>
              </w:rPr>
              <w:t xml:space="preserve">  </w:t>
            </w:r>
            <w:r w:rsidRPr="00F74646">
              <w:rPr>
                <w:rFonts w:ascii="Times New Roman" w:hAnsi="Times New Roman"/>
                <w:lang w:eastAsia="el-GR"/>
              </w:rPr>
              <w:t>Καλλιθέας</w:t>
            </w:r>
          </w:p>
        </w:tc>
        <w:tc>
          <w:tcPr>
            <w:tcW w:w="6480" w:type="dxa"/>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r w:rsidRPr="00F74646">
              <w:rPr>
                <w:rFonts w:ascii="Times New Roman" w:hAnsi="Times New Roman"/>
                <w:lang w:eastAsia="el-GR"/>
              </w:rPr>
              <w:t xml:space="preserve"> 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20. </w:t>
            </w:r>
            <w:r w:rsidRPr="00F74646">
              <w:rPr>
                <w:rFonts w:ascii="Times New Roman" w:hAnsi="Times New Roman"/>
                <w:lang w:eastAsia="el-GR"/>
              </w:rPr>
              <w:t xml:space="preserve">Ε.Σ.  </w:t>
            </w:r>
            <w:r w:rsidRPr="00F74646">
              <w:rPr>
                <w:rFonts w:ascii="Times New Roman" w:hAnsi="Times New Roman"/>
                <w:b/>
                <w:lang w:eastAsia="el-GR"/>
              </w:rPr>
              <w:t xml:space="preserve"> </w:t>
            </w:r>
            <w:r w:rsidRPr="00F74646">
              <w:rPr>
                <w:rFonts w:ascii="Times New Roman" w:hAnsi="Times New Roman"/>
                <w:lang w:eastAsia="el-GR"/>
              </w:rPr>
              <w:t>Μοσχάτου</w:t>
            </w:r>
          </w:p>
        </w:tc>
        <w:tc>
          <w:tcPr>
            <w:tcW w:w="6480" w:type="dxa"/>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r w:rsidRPr="00F74646">
              <w:rPr>
                <w:rFonts w:ascii="Times New Roman" w:hAnsi="Times New Roman"/>
                <w:lang w:eastAsia="el-GR"/>
              </w:rPr>
              <w:t xml:space="preserve"> 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21.  </w:t>
            </w:r>
            <w:r w:rsidRPr="00F74646">
              <w:rPr>
                <w:rFonts w:ascii="Times New Roman" w:hAnsi="Times New Roman"/>
                <w:lang w:eastAsia="el-GR"/>
              </w:rPr>
              <w:t>Ε.Σ.  Κηφισιάς</w:t>
            </w:r>
          </w:p>
        </w:tc>
        <w:tc>
          <w:tcPr>
            <w:tcW w:w="6480" w:type="dxa"/>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r w:rsidRPr="00F74646">
              <w:rPr>
                <w:rFonts w:ascii="Times New Roman" w:hAnsi="Times New Roman"/>
                <w:lang w:eastAsia="el-GR"/>
              </w:rPr>
              <w:t xml:space="preserve"> 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22.  </w:t>
            </w:r>
            <w:r w:rsidRPr="00F74646">
              <w:rPr>
                <w:rFonts w:ascii="Times New Roman" w:hAnsi="Times New Roman"/>
                <w:lang w:eastAsia="el-GR"/>
              </w:rPr>
              <w:t>Ε.Σ.  Αμαρουσίου</w:t>
            </w:r>
          </w:p>
        </w:tc>
        <w:tc>
          <w:tcPr>
            <w:tcW w:w="6480" w:type="dxa"/>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r w:rsidRPr="00F74646">
              <w:rPr>
                <w:rFonts w:ascii="Times New Roman" w:hAnsi="Times New Roman"/>
                <w:lang w:eastAsia="el-GR"/>
              </w:rPr>
              <w:t xml:space="preserve"> 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23.</w:t>
            </w:r>
            <w:r w:rsidRPr="00F74646">
              <w:rPr>
                <w:rFonts w:ascii="Times New Roman" w:hAnsi="Times New Roman"/>
                <w:lang w:eastAsia="el-GR"/>
              </w:rPr>
              <w:t xml:space="preserve">  Ε.Σ.  Ρεθύμνου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24.</w:t>
            </w:r>
            <w:r w:rsidRPr="00F74646">
              <w:rPr>
                <w:rFonts w:ascii="Times New Roman" w:hAnsi="Times New Roman"/>
                <w:lang w:eastAsia="el-GR"/>
              </w:rPr>
              <w:t xml:space="preserve">  Ε.Σ.  Θήρας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25.</w:t>
            </w:r>
            <w:r w:rsidRPr="00F74646">
              <w:rPr>
                <w:rFonts w:ascii="Times New Roman" w:hAnsi="Times New Roman"/>
                <w:lang w:eastAsia="el-GR"/>
              </w:rPr>
              <w:t xml:space="preserve">  Ε.Σ.  Έδεσσας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Σταθερότητα</w:t>
            </w:r>
            <w:r w:rsidRPr="00F74646">
              <w:rPr>
                <w:rFonts w:ascii="Times New Roman" w:hAnsi="Times New Roman"/>
                <w:lang w:eastAsia="el-GR"/>
              </w:rPr>
              <w:t xml:space="preserve"> (η αγορά κινήθηκε στα ίδια επίπεδα)</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26.</w:t>
            </w:r>
            <w:r w:rsidRPr="00F74646">
              <w:rPr>
                <w:rFonts w:ascii="Times New Roman" w:hAnsi="Times New Roman"/>
                <w:lang w:eastAsia="el-GR"/>
              </w:rPr>
              <w:t xml:space="preserve">  Ε.Σ.  Γρεβενών</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27.</w:t>
            </w:r>
            <w:r w:rsidRPr="00F74646">
              <w:rPr>
                <w:rFonts w:ascii="Times New Roman" w:hAnsi="Times New Roman"/>
                <w:lang w:eastAsia="el-GR"/>
              </w:rPr>
              <w:t xml:space="preserve">  Ε.Σ.  Γιαννιτσών</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28.</w:t>
            </w:r>
            <w:r w:rsidRPr="00F74646">
              <w:rPr>
                <w:rFonts w:ascii="Times New Roman" w:hAnsi="Times New Roman"/>
                <w:lang w:eastAsia="el-GR"/>
              </w:rPr>
              <w:t xml:space="preserve">  Ε.Σ.  Βέροιας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29.</w:t>
            </w:r>
            <w:r w:rsidRPr="00F74646">
              <w:rPr>
                <w:rFonts w:ascii="Times New Roman" w:hAnsi="Times New Roman"/>
                <w:lang w:eastAsia="el-GR"/>
              </w:rPr>
              <w:t xml:space="preserve">  Ε.Σ.  Ναυπλίου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30.</w:t>
            </w:r>
            <w:r w:rsidRPr="00F74646">
              <w:rPr>
                <w:rFonts w:ascii="Times New Roman" w:hAnsi="Times New Roman"/>
                <w:lang w:eastAsia="el-GR"/>
              </w:rPr>
              <w:t xml:space="preserve">  Ε.Σ.  Κορίνθου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31.</w:t>
            </w:r>
            <w:r w:rsidRPr="00F74646">
              <w:rPr>
                <w:rFonts w:ascii="Times New Roman" w:hAnsi="Times New Roman"/>
                <w:lang w:eastAsia="el-GR"/>
              </w:rPr>
              <w:t xml:space="preserve">  Ε.Σ.  Κιάτου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32.</w:t>
            </w:r>
            <w:r w:rsidRPr="00F74646">
              <w:rPr>
                <w:rFonts w:ascii="Times New Roman" w:hAnsi="Times New Roman"/>
                <w:lang w:eastAsia="el-GR"/>
              </w:rPr>
              <w:t xml:space="preserve">  Ε.Σ.  Σύρου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Πτώση</w:t>
            </w:r>
            <w:r w:rsidRPr="00F74646">
              <w:rPr>
                <w:rFonts w:ascii="Times New Roman" w:hAnsi="Times New Roman"/>
                <w:bCs/>
                <w:lang w:eastAsia="el-GR"/>
              </w:rPr>
              <w:t xml:space="preserve"> 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33.</w:t>
            </w:r>
            <w:r w:rsidRPr="00F74646">
              <w:rPr>
                <w:rFonts w:ascii="Times New Roman" w:hAnsi="Times New Roman"/>
                <w:lang w:eastAsia="el-GR"/>
              </w:rPr>
              <w:t xml:space="preserve">  Ε.Σ.  Νάξου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34.</w:t>
            </w:r>
            <w:r w:rsidRPr="00F74646">
              <w:rPr>
                <w:rFonts w:ascii="Times New Roman" w:hAnsi="Times New Roman"/>
                <w:lang w:eastAsia="el-GR"/>
              </w:rPr>
              <w:t xml:space="preserve">  Ε.Σ.  Καλαμάτας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35.  </w:t>
            </w:r>
            <w:r w:rsidRPr="00F74646">
              <w:rPr>
                <w:rFonts w:ascii="Times New Roman" w:hAnsi="Times New Roman"/>
                <w:lang w:eastAsia="el-GR"/>
              </w:rPr>
              <w:t>Ε.Σ.  Ζακύνθου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36.  </w:t>
            </w:r>
            <w:r w:rsidRPr="00F74646">
              <w:rPr>
                <w:rFonts w:ascii="Times New Roman" w:hAnsi="Times New Roman"/>
                <w:lang w:eastAsia="el-GR"/>
              </w:rPr>
              <w:t>Ε.Σ.  Άργους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37.  </w:t>
            </w:r>
            <w:r w:rsidRPr="00F74646">
              <w:rPr>
                <w:rFonts w:ascii="Times New Roman" w:hAnsi="Times New Roman"/>
                <w:lang w:eastAsia="el-GR"/>
              </w:rPr>
              <w:t>Ε.Σ.  Αργοστολίου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Σταθερότητα</w:t>
            </w:r>
            <w:r w:rsidRPr="00F74646">
              <w:rPr>
                <w:rFonts w:ascii="Times New Roman" w:hAnsi="Times New Roman"/>
                <w:lang w:eastAsia="el-GR"/>
              </w:rPr>
              <w:t xml:space="preserve"> (η αγορά κινήθηκε στα ίδια επίπεδα)</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38.  </w:t>
            </w:r>
            <w:r w:rsidRPr="00F74646">
              <w:rPr>
                <w:rFonts w:ascii="Times New Roman" w:hAnsi="Times New Roman"/>
                <w:lang w:eastAsia="el-GR"/>
              </w:rPr>
              <w:t>Ε.Σ.  Σητείας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Σταθερότητα</w:t>
            </w:r>
            <w:r w:rsidRPr="00F74646">
              <w:rPr>
                <w:rFonts w:ascii="Times New Roman" w:hAnsi="Times New Roman"/>
                <w:lang w:eastAsia="el-GR"/>
              </w:rPr>
              <w:t xml:space="preserve"> (η αγορά κινήθηκε στα ίδια επίπεδα)</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39.  </w:t>
            </w:r>
            <w:r w:rsidRPr="00F74646">
              <w:rPr>
                <w:rFonts w:ascii="Times New Roman" w:hAnsi="Times New Roman"/>
                <w:lang w:eastAsia="el-GR"/>
              </w:rPr>
              <w:t>Ε.Σ.  Μυτιλήνης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40.  </w:t>
            </w:r>
            <w:r w:rsidRPr="00F74646">
              <w:rPr>
                <w:rFonts w:ascii="Times New Roman" w:hAnsi="Times New Roman"/>
                <w:lang w:eastAsia="el-GR"/>
              </w:rPr>
              <w:t>Ε.Σ.  Λιβαδειάς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41.  </w:t>
            </w:r>
            <w:r w:rsidRPr="00F74646">
              <w:rPr>
                <w:rFonts w:ascii="Times New Roman" w:hAnsi="Times New Roman"/>
                <w:lang w:eastAsia="el-GR"/>
              </w:rPr>
              <w:t>Ε.Σ.  Λήμνου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31-40%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42.  </w:t>
            </w:r>
            <w:r w:rsidRPr="00F74646">
              <w:rPr>
                <w:rFonts w:ascii="Times New Roman" w:hAnsi="Times New Roman"/>
                <w:lang w:eastAsia="el-GR"/>
              </w:rPr>
              <w:t>Ε.Σ.  Καρδίτσας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31-40%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43.  </w:t>
            </w:r>
            <w:r w:rsidRPr="00F74646">
              <w:rPr>
                <w:rFonts w:ascii="Times New Roman" w:hAnsi="Times New Roman"/>
                <w:lang w:eastAsia="el-GR"/>
              </w:rPr>
              <w:t>Ε.Σ.  Αγρινίου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44.  </w:t>
            </w:r>
            <w:r w:rsidRPr="00F74646">
              <w:rPr>
                <w:rFonts w:ascii="Times New Roman" w:hAnsi="Times New Roman"/>
                <w:lang w:eastAsia="el-GR"/>
              </w:rPr>
              <w:t>Ε.Σ.  Ελασσόνας</w:t>
            </w:r>
          </w:p>
        </w:tc>
        <w:tc>
          <w:tcPr>
            <w:tcW w:w="6480" w:type="dxa"/>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Σταθερότητα</w:t>
            </w:r>
            <w:r w:rsidRPr="00F74646">
              <w:rPr>
                <w:rFonts w:ascii="Times New Roman" w:hAnsi="Times New Roman"/>
                <w:lang w:eastAsia="el-GR"/>
              </w:rPr>
              <w:t xml:space="preserve"> (η αγορά  κινήθηκε στα ίδια επίπεδα)</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lastRenderedPageBreak/>
              <w:t xml:space="preserve">45.  </w:t>
            </w:r>
            <w:r w:rsidRPr="00F74646">
              <w:rPr>
                <w:rFonts w:ascii="Times New Roman" w:hAnsi="Times New Roman"/>
                <w:lang w:eastAsia="el-GR"/>
              </w:rPr>
              <w:t>Ε.Σ.  Πύργου</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46.  </w:t>
            </w:r>
            <w:r w:rsidRPr="00F74646">
              <w:rPr>
                <w:rFonts w:ascii="Times New Roman" w:hAnsi="Times New Roman"/>
                <w:lang w:eastAsia="el-GR"/>
              </w:rPr>
              <w:t>Ε.Σ.  Καστοριάς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47.  </w:t>
            </w:r>
            <w:r w:rsidRPr="00F74646">
              <w:rPr>
                <w:rFonts w:ascii="Times New Roman" w:hAnsi="Times New Roman"/>
                <w:lang w:eastAsia="el-GR"/>
              </w:rPr>
              <w:t>Ε.Σ.  Κοζάνης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48.  </w:t>
            </w:r>
            <w:r w:rsidRPr="00F74646">
              <w:rPr>
                <w:rFonts w:ascii="Times New Roman" w:hAnsi="Times New Roman"/>
                <w:lang w:eastAsia="el-GR"/>
              </w:rPr>
              <w:t>Ε.Σ.  Πτολεμαΐδας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μεγαλύτερη από </w:t>
            </w:r>
            <w:r w:rsidRPr="00F74646">
              <w:rPr>
                <w:rFonts w:ascii="Times New Roman" w:hAnsi="Times New Roman"/>
                <w:bCs/>
                <w:lang w:eastAsia="el-GR"/>
              </w:rPr>
              <w:t>41%</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49.  </w:t>
            </w:r>
            <w:r w:rsidRPr="00F74646">
              <w:rPr>
                <w:rFonts w:ascii="Times New Roman" w:hAnsi="Times New Roman"/>
                <w:lang w:eastAsia="el-GR"/>
              </w:rPr>
              <w:t>Ε.Σ.  Ρόδου</w:t>
            </w:r>
          </w:p>
        </w:tc>
        <w:tc>
          <w:tcPr>
            <w:tcW w:w="6480" w:type="dxa"/>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0-10%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50.  </w:t>
            </w:r>
            <w:r w:rsidRPr="00F74646">
              <w:rPr>
                <w:rFonts w:ascii="Times New Roman" w:hAnsi="Times New Roman"/>
                <w:lang w:eastAsia="el-GR"/>
              </w:rPr>
              <w:t>Ε.Σ.  Φλώρινας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 xml:space="preserve">51.  </w:t>
            </w:r>
            <w:r w:rsidRPr="00F74646">
              <w:rPr>
                <w:rFonts w:ascii="Times New Roman" w:hAnsi="Times New Roman"/>
                <w:lang w:eastAsia="el-GR"/>
              </w:rPr>
              <w:t>Ε.Σ.  Χαλκίδας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Σταθερότητα</w:t>
            </w:r>
            <w:r w:rsidRPr="00F74646">
              <w:rPr>
                <w:rFonts w:ascii="Times New Roman" w:hAnsi="Times New Roman"/>
                <w:lang w:eastAsia="el-GR"/>
              </w:rPr>
              <w:t xml:space="preserve"> (η αγορά κινήθηκε στα ίδια επίπεδα)</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52.</w:t>
            </w:r>
            <w:r w:rsidRPr="00F74646">
              <w:rPr>
                <w:rFonts w:ascii="Times New Roman" w:hAnsi="Times New Roman"/>
                <w:lang w:eastAsia="el-GR"/>
              </w:rPr>
              <w:t xml:space="preserve">  Ε.Σ.  Τρικάλων </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53.</w:t>
            </w:r>
            <w:r w:rsidRPr="00F74646">
              <w:rPr>
                <w:rFonts w:ascii="Times New Roman" w:hAnsi="Times New Roman"/>
                <w:lang w:eastAsia="el-GR"/>
              </w:rPr>
              <w:t xml:space="preserve">  Ε.Σ.  Ηγουμενίτσας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Σταθερότητα</w:t>
            </w:r>
            <w:r w:rsidRPr="00F74646">
              <w:rPr>
                <w:rFonts w:ascii="Times New Roman" w:hAnsi="Times New Roman"/>
                <w:lang w:eastAsia="el-GR"/>
              </w:rPr>
              <w:t xml:space="preserve"> (η αγορά κινήθηκε στα ίδια επίπεδα)</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54.</w:t>
            </w:r>
            <w:r w:rsidRPr="00F74646">
              <w:rPr>
                <w:rFonts w:ascii="Times New Roman" w:hAnsi="Times New Roman"/>
                <w:lang w:eastAsia="el-GR"/>
              </w:rPr>
              <w:t xml:space="preserve">  Ε.Σ.  Αλεξανδρούπολης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55.</w:t>
            </w:r>
            <w:r w:rsidRPr="00F74646">
              <w:rPr>
                <w:rFonts w:ascii="Times New Roman" w:hAnsi="Times New Roman"/>
                <w:lang w:eastAsia="el-GR"/>
              </w:rPr>
              <w:t xml:space="preserve">  Ε.Σ.  Καλαμαριάς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56.</w:t>
            </w:r>
            <w:r w:rsidRPr="00F74646">
              <w:rPr>
                <w:rFonts w:ascii="Times New Roman" w:hAnsi="Times New Roman"/>
                <w:lang w:eastAsia="el-GR"/>
              </w:rPr>
              <w:t xml:space="preserve">  Ε.Σ.  Ιεράπετρας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57.</w:t>
            </w:r>
            <w:r w:rsidRPr="00F74646">
              <w:rPr>
                <w:rFonts w:ascii="Times New Roman" w:hAnsi="Times New Roman"/>
                <w:lang w:eastAsia="el-GR"/>
              </w:rPr>
              <w:t xml:space="preserve">  Ε.Σ.  Θηβών</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58.</w:t>
            </w:r>
            <w:r w:rsidRPr="00F74646">
              <w:rPr>
                <w:rFonts w:ascii="Times New Roman" w:hAnsi="Times New Roman"/>
                <w:lang w:eastAsia="el-GR"/>
              </w:rPr>
              <w:t xml:space="preserve">  Ε.Σ.  Λαμίας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μεγαλύτερη από </w:t>
            </w:r>
            <w:r w:rsidRPr="00F74646">
              <w:rPr>
                <w:rFonts w:ascii="Times New Roman" w:hAnsi="Times New Roman"/>
                <w:bCs/>
                <w:lang w:eastAsia="el-GR"/>
              </w:rPr>
              <w:t>41%</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59.</w:t>
            </w:r>
            <w:r w:rsidRPr="00F74646">
              <w:rPr>
                <w:rFonts w:ascii="Times New Roman" w:hAnsi="Times New Roman"/>
                <w:lang w:eastAsia="el-GR"/>
              </w:rPr>
              <w:t xml:space="preserve">  Ε.Σ.  Λευκάδας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Σταθερότητα</w:t>
            </w:r>
            <w:r w:rsidRPr="00F74646">
              <w:rPr>
                <w:rFonts w:ascii="Times New Roman" w:hAnsi="Times New Roman"/>
                <w:lang w:eastAsia="el-GR"/>
              </w:rPr>
              <w:t xml:space="preserve"> (η αγορά κινήθηκε στα ίδια επίπεδα)</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60.</w:t>
            </w:r>
            <w:r w:rsidRPr="00F74646">
              <w:rPr>
                <w:rFonts w:ascii="Times New Roman" w:hAnsi="Times New Roman"/>
                <w:lang w:eastAsia="el-GR"/>
              </w:rPr>
              <w:t xml:space="preserve"> Ε.Σ. Ένωση Εμπόρων- Επαγγελματιών Βιοτεχνών Αγίου Κωνσταντίνου</w:t>
            </w:r>
          </w:p>
        </w:tc>
        <w:tc>
          <w:tcPr>
            <w:tcW w:w="6480" w:type="dxa"/>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61.</w:t>
            </w:r>
            <w:r w:rsidRPr="00F74646">
              <w:rPr>
                <w:rFonts w:ascii="Times New Roman" w:hAnsi="Times New Roman"/>
                <w:lang w:eastAsia="el-GR"/>
              </w:rPr>
              <w:t xml:space="preserve">  Ε.Σ.  Ιωαννίνων</w:t>
            </w:r>
          </w:p>
        </w:tc>
        <w:tc>
          <w:tcPr>
            <w:tcW w:w="6480" w:type="dxa"/>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62.</w:t>
            </w:r>
            <w:r w:rsidRPr="00F74646">
              <w:rPr>
                <w:rFonts w:ascii="Times New Roman" w:hAnsi="Times New Roman"/>
                <w:lang w:eastAsia="el-GR"/>
              </w:rPr>
              <w:t xml:space="preserve">  Ε.Σ.  Άρτας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μεγαλύτερη από </w:t>
            </w:r>
            <w:r w:rsidRPr="00F74646">
              <w:rPr>
                <w:rFonts w:ascii="Times New Roman" w:hAnsi="Times New Roman"/>
                <w:bCs/>
                <w:lang w:eastAsia="el-GR"/>
              </w:rPr>
              <w:t>41%</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63.</w:t>
            </w:r>
            <w:r w:rsidRPr="00F74646">
              <w:rPr>
                <w:rFonts w:ascii="Times New Roman" w:hAnsi="Times New Roman"/>
                <w:lang w:eastAsia="el-GR"/>
              </w:rPr>
              <w:t xml:space="preserve">  Ε.Σ.  Αγίου Νικολάου Κρήτης</w:t>
            </w:r>
          </w:p>
        </w:tc>
        <w:tc>
          <w:tcPr>
            <w:tcW w:w="6480" w:type="dxa"/>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Πτώση</w:t>
            </w:r>
            <w:r w:rsidRPr="00F74646">
              <w:rPr>
                <w:rFonts w:ascii="Times New Roman" w:hAnsi="Times New Roman"/>
                <w:bCs/>
                <w:lang w:eastAsia="el-GR"/>
              </w:rPr>
              <w:t xml:space="preserve"> 21-30%</w:t>
            </w:r>
          </w:p>
        </w:tc>
      </w:tr>
      <w:tr w:rsidR="00E64512" w:rsidRPr="00F74646" w:rsidTr="00FA3F72">
        <w:tc>
          <w:tcPr>
            <w:tcW w:w="3333" w:type="dxa"/>
            <w:vAlign w:val="center"/>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64.</w:t>
            </w:r>
            <w:r w:rsidRPr="00F74646">
              <w:rPr>
                <w:rFonts w:ascii="Times New Roman" w:hAnsi="Times New Roman"/>
                <w:lang w:eastAsia="el-GR"/>
              </w:rPr>
              <w:t xml:space="preserve">  Ε.Σ.  Σερρών</w:t>
            </w:r>
          </w:p>
        </w:tc>
        <w:tc>
          <w:tcPr>
            <w:tcW w:w="6480" w:type="dxa"/>
            <w:vAlign w:val="center"/>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Πτώση</w:t>
            </w:r>
            <w:r w:rsidRPr="00F74646">
              <w:rPr>
                <w:rFonts w:ascii="Times New Roman" w:hAnsi="Times New Roman"/>
                <w:bCs/>
                <w:lang w:eastAsia="el-GR"/>
              </w:rPr>
              <w:t xml:space="preserve"> 31-40%</w:t>
            </w:r>
          </w:p>
        </w:tc>
      </w:tr>
      <w:tr w:rsidR="00E64512" w:rsidRPr="00F74646" w:rsidTr="00FA3F72">
        <w:tc>
          <w:tcPr>
            <w:tcW w:w="3333" w:type="dxa"/>
          </w:tcPr>
          <w:p w:rsidR="00E64512" w:rsidRPr="00F74646" w:rsidRDefault="00E64512" w:rsidP="00FA3F72">
            <w:pPr>
              <w:tabs>
                <w:tab w:val="left" w:pos="2355"/>
              </w:tabs>
              <w:spacing w:after="0" w:line="240" w:lineRule="auto"/>
              <w:rPr>
                <w:rFonts w:ascii="Times New Roman" w:hAnsi="Times New Roman"/>
                <w:lang w:eastAsia="el-GR"/>
              </w:rPr>
            </w:pPr>
            <w:r w:rsidRPr="00F74646">
              <w:rPr>
                <w:rFonts w:ascii="Times New Roman" w:hAnsi="Times New Roman"/>
                <w:b/>
                <w:lang w:eastAsia="el-GR"/>
              </w:rPr>
              <w:t>65.</w:t>
            </w:r>
            <w:r w:rsidRPr="00F74646">
              <w:rPr>
                <w:rFonts w:ascii="Times New Roman" w:hAnsi="Times New Roman"/>
                <w:lang w:eastAsia="el-GR"/>
              </w:rPr>
              <w:t xml:space="preserve">  Ε.Σ.  Κομοτηνής</w:t>
            </w:r>
            <w:r w:rsidRPr="00F74646">
              <w:rPr>
                <w:rFonts w:ascii="Times New Roman" w:hAnsi="Times New Roman"/>
                <w:lang w:eastAsia="el-GR"/>
              </w:rPr>
              <w:tab/>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11-20%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lang w:eastAsia="el-GR"/>
              </w:rPr>
            </w:pPr>
            <w:r w:rsidRPr="00F74646">
              <w:rPr>
                <w:rFonts w:ascii="Times New Roman" w:hAnsi="Times New Roman"/>
                <w:b/>
                <w:lang w:eastAsia="el-GR"/>
              </w:rPr>
              <w:t>66.</w:t>
            </w:r>
            <w:r w:rsidRPr="00F74646">
              <w:rPr>
                <w:rFonts w:ascii="Times New Roman" w:hAnsi="Times New Roman"/>
                <w:lang w:eastAsia="el-GR"/>
              </w:rPr>
              <w:t xml:space="preserve">  Ε.Σ.  Κατερίνης</w:t>
            </w:r>
          </w:p>
        </w:tc>
        <w:tc>
          <w:tcPr>
            <w:tcW w:w="6480" w:type="dxa"/>
            <w:vAlign w:val="bottom"/>
          </w:tcPr>
          <w:p w:rsidR="00E64512" w:rsidRPr="00F74646" w:rsidRDefault="00E64512" w:rsidP="00FA3F72">
            <w:pPr>
              <w:spacing w:after="0" w:line="240" w:lineRule="auto"/>
              <w:jc w:val="center"/>
              <w:rPr>
                <w:rFonts w:ascii="Times New Roman" w:hAnsi="Times New Roman"/>
                <w:lang w:eastAsia="el-GR"/>
              </w:rPr>
            </w:pPr>
            <w:r w:rsidRPr="00F74646">
              <w:rPr>
                <w:rFonts w:ascii="Times New Roman" w:hAnsi="Times New Roman"/>
                <w:b/>
                <w:bCs/>
                <w:lang w:eastAsia="el-GR"/>
              </w:rPr>
              <w:t xml:space="preserve">Πτώση </w:t>
            </w:r>
            <w:r w:rsidRPr="00F74646">
              <w:rPr>
                <w:rFonts w:ascii="Times New Roman" w:hAnsi="Times New Roman"/>
                <w:bCs/>
                <w:lang w:eastAsia="el-GR"/>
              </w:rPr>
              <w:t>31-40%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67.  </w:t>
            </w:r>
            <w:r w:rsidRPr="00F74646">
              <w:rPr>
                <w:rFonts w:ascii="Times New Roman" w:hAnsi="Times New Roman"/>
                <w:lang w:eastAsia="el-GR"/>
              </w:rPr>
              <w:t>Ε.Σ.  Σάμου</w:t>
            </w:r>
          </w:p>
        </w:tc>
        <w:tc>
          <w:tcPr>
            <w:tcW w:w="6480" w:type="dxa"/>
            <w:vAlign w:val="bottom"/>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r w:rsidRPr="00F74646">
              <w:rPr>
                <w:rFonts w:ascii="Times New Roman" w:hAnsi="Times New Roman"/>
                <w:bCs/>
                <w:lang w:eastAsia="el-GR"/>
              </w:rPr>
              <w:t xml:space="preserve"> 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68.  </w:t>
            </w:r>
            <w:r w:rsidRPr="00F74646">
              <w:rPr>
                <w:rFonts w:ascii="Times New Roman" w:hAnsi="Times New Roman"/>
                <w:lang w:eastAsia="el-GR"/>
              </w:rPr>
              <w:t>Ε.Σ.  Δράμας</w:t>
            </w:r>
          </w:p>
        </w:tc>
        <w:tc>
          <w:tcPr>
            <w:tcW w:w="6480" w:type="dxa"/>
            <w:vAlign w:val="bottom"/>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r w:rsidRPr="00F74646">
              <w:rPr>
                <w:rFonts w:ascii="Times New Roman" w:hAnsi="Times New Roman"/>
                <w:bCs/>
                <w:lang w:eastAsia="el-GR"/>
              </w:rPr>
              <w:t xml:space="preserve"> 21-30%</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69.  </w:t>
            </w:r>
            <w:r w:rsidRPr="00F74646">
              <w:rPr>
                <w:rFonts w:ascii="Times New Roman" w:hAnsi="Times New Roman"/>
                <w:lang w:eastAsia="el-GR"/>
              </w:rPr>
              <w:t>Ε.Σ.  Ξάνθης</w:t>
            </w:r>
          </w:p>
        </w:tc>
        <w:tc>
          <w:tcPr>
            <w:tcW w:w="6480" w:type="dxa"/>
            <w:vAlign w:val="bottom"/>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p>
        </w:tc>
      </w:tr>
      <w:tr w:rsidR="00E64512" w:rsidRPr="00F74646" w:rsidTr="00FA3F72">
        <w:tc>
          <w:tcPr>
            <w:tcW w:w="3333" w:type="dxa"/>
          </w:tcPr>
          <w:p w:rsidR="00E64512" w:rsidRPr="00F74646" w:rsidRDefault="00E64512" w:rsidP="00FA3F72">
            <w:pPr>
              <w:spacing w:after="0" w:line="240" w:lineRule="auto"/>
              <w:rPr>
                <w:rFonts w:ascii="Times New Roman" w:hAnsi="Times New Roman"/>
                <w:b/>
                <w:lang w:eastAsia="el-GR"/>
              </w:rPr>
            </w:pPr>
            <w:r w:rsidRPr="00F74646">
              <w:rPr>
                <w:rFonts w:ascii="Times New Roman" w:hAnsi="Times New Roman"/>
                <w:b/>
                <w:lang w:eastAsia="el-GR"/>
              </w:rPr>
              <w:t xml:space="preserve">70.  </w:t>
            </w:r>
            <w:r w:rsidRPr="00F74646">
              <w:rPr>
                <w:rFonts w:ascii="Times New Roman" w:hAnsi="Times New Roman"/>
                <w:lang w:eastAsia="el-GR"/>
              </w:rPr>
              <w:t>Ε.Σ.  Καβάλας</w:t>
            </w:r>
          </w:p>
        </w:tc>
        <w:tc>
          <w:tcPr>
            <w:tcW w:w="6480" w:type="dxa"/>
            <w:vAlign w:val="bottom"/>
          </w:tcPr>
          <w:p w:rsidR="00E64512" w:rsidRPr="00F74646" w:rsidRDefault="00E64512" w:rsidP="00FA3F72">
            <w:pPr>
              <w:spacing w:after="0" w:line="240" w:lineRule="auto"/>
              <w:jc w:val="center"/>
              <w:rPr>
                <w:rFonts w:ascii="Times New Roman" w:hAnsi="Times New Roman"/>
                <w:b/>
                <w:bCs/>
                <w:lang w:eastAsia="el-GR"/>
              </w:rPr>
            </w:pPr>
            <w:r w:rsidRPr="00F74646">
              <w:rPr>
                <w:rFonts w:ascii="Times New Roman" w:hAnsi="Times New Roman"/>
                <w:b/>
                <w:bCs/>
                <w:lang w:eastAsia="el-GR"/>
              </w:rPr>
              <w:t>Πτώση</w:t>
            </w:r>
          </w:p>
        </w:tc>
      </w:tr>
      <w:tr w:rsidR="00E64512" w:rsidRPr="00F74646" w:rsidTr="00FA3F72">
        <w:trPr>
          <w:trHeight w:val="435"/>
        </w:trPr>
        <w:tc>
          <w:tcPr>
            <w:tcW w:w="3333" w:type="dxa"/>
            <w:shd w:val="clear" w:color="auto" w:fill="BFBFBF"/>
            <w:vAlign w:val="center"/>
          </w:tcPr>
          <w:p w:rsidR="00E64512" w:rsidRPr="00F74646" w:rsidRDefault="00E64512" w:rsidP="00FA3F72">
            <w:pPr>
              <w:spacing w:after="0" w:line="240" w:lineRule="auto"/>
              <w:rPr>
                <w:b/>
                <w:sz w:val="26"/>
                <w:szCs w:val="26"/>
                <w:lang w:eastAsia="el-GR"/>
              </w:rPr>
            </w:pPr>
            <w:r w:rsidRPr="00F74646">
              <w:rPr>
                <w:b/>
                <w:sz w:val="26"/>
                <w:szCs w:val="26"/>
                <w:lang w:eastAsia="el-GR"/>
              </w:rPr>
              <w:t>ΜΕΣΟΣ ΟΡΟΣ ΜΕΙΩΣΗΣ</w:t>
            </w:r>
          </w:p>
        </w:tc>
        <w:tc>
          <w:tcPr>
            <w:tcW w:w="6480" w:type="dxa"/>
            <w:shd w:val="clear" w:color="auto" w:fill="BFBFBF"/>
            <w:vAlign w:val="center"/>
          </w:tcPr>
          <w:p w:rsidR="00E64512" w:rsidRPr="00F74646" w:rsidRDefault="00E64512" w:rsidP="00FA3F72">
            <w:pPr>
              <w:spacing w:after="0" w:line="240" w:lineRule="auto"/>
              <w:jc w:val="center"/>
              <w:rPr>
                <w:rFonts w:ascii="Times New Roman" w:hAnsi="Times New Roman"/>
                <w:b/>
                <w:sz w:val="26"/>
                <w:szCs w:val="26"/>
                <w:lang w:eastAsia="el-GR"/>
              </w:rPr>
            </w:pPr>
            <w:r w:rsidRPr="00F74646">
              <w:rPr>
                <w:b/>
                <w:color w:val="FF0000"/>
                <w:sz w:val="28"/>
                <w:szCs w:val="28"/>
                <w:lang w:eastAsia="el-GR"/>
              </w:rPr>
              <w:t>-1</w:t>
            </w:r>
            <w:r w:rsidRPr="00F74646">
              <w:rPr>
                <w:rFonts w:ascii="Times New Roman" w:hAnsi="Times New Roman"/>
                <w:b/>
                <w:color w:val="FF0000"/>
                <w:sz w:val="28"/>
                <w:szCs w:val="28"/>
                <w:lang w:eastAsia="el-GR"/>
              </w:rPr>
              <w:t>7</w:t>
            </w:r>
            <w:r w:rsidRPr="00F74646">
              <w:rPr>
                <w:b/>
                <w:color w:val="FF0000"/>
                <w:sz w:val="28"/>
                <w:szCs w:val="28"/>
                <w:lang w:eastAsia="el-GR"/>
              </w:rPr>
              <w:t>,</w:t>
            </w:r>
            <w:r w:rsidRPr="00F74646">
              <w:rPr>
                <w:rFonts w:ascii="Times New Roman" w:hAnsi="Times New Roman"/>
                <w:b/>
                <w:color w:val="FF0000"/>
                <w:sz w:val="28"/>
                <w:szCs w:val="28"/>
                <w:lang w:eastAsia="el-GR"/>
              </w:rPr>
              <w:t>3</w:t>
            </w:r>
            <w:r w:rsidRPr="00F74646">
              <w:rPr>
                <w:b/>
                <w:color w:val="FF0000"/>
                <w:sz w:val="28"/>
                <w:szCs w:val="28"/>
                <w:lang w:eastAsia="el-GR"/>
              </w:rPr>
              <w:t>%</w:t>
            </w:r>
          </w:p>
        </w:tc>
      </w:tr>
    </w:tbl>
    <w:p w:rsidR="00E64512" w:rsidRPr="00D92839" w:rsidRDefault="00E64512" w:rsidP="00E64512">
      <w:pPr>
        <w:spacing w:line="360" w:lineRule="atLeast"/>
        <w:jc w:val="center"/>
        <w:rPr>
          <w:rFonts w:ascii="Times New Roman" w:hAnsi="Times New Roman"/>
          <w:sz w:val="24"/>
          <w:szCs w:val="24"/>
        </w:rPr>
      </w:pPr>
    </w:p>
    <w:p w:rsidR="004B158C" w:rsidRPr="004B158C" w:rsidRDefault="004B158C" w:rsidP="004B158C">
      <w:pPr>
        <w:spacing w:after="0" w:line="360" w:lineRule="auto"/>
        <w:jc w:val="both"/>
        <w:rPr>
          <w:rFonts w:ascii="Times New Roman" w:hAnsi="Times New Roman" w:cs="Times New Roman"/>
          <w:b/>
          <w:sz w:val="24"/>
          <w:szCs w:val="24"/>
        </w:rPr>
      </w:pPr>
    </w:p>
    <w:sectPr w:rsidR="004B158C" w:rsidRPr="004B158C" w:rsidSect="009120C2">
      <w:footerReference w:type="default" r:id="rId18"/>
      <w:pgSz w:w="11906" w:h="16838"/>
      <w:pgMar w:top="426" w:right="17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51" w:rsidRDefault="00DD4951" w:rsidP="003355BE">
      <w:pPr>
        <w:spacing w:after="0" w:line="240" w:lineRule="auto"/>
      </w:pPr>
      <w:r>
        <w:separator/>
      </w:r>
    </w:p>
  </w:endnote>
  <w:endnote w:type="continuationSeparator" w:id="0">
    <w:p w:rsidR="00DD4951" w:rsidRDefault="00DD4951" w:rsidP="00335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BE" w:rsidRPr="003355BE" w:rsidRDefault="003355BE" w:rsidP="003355BE">
    <w:pPr>
      <w:rPr>
        <w:rFonts w:asciiTheme="majorHAnsi" w:hAnsiTheme="majorHAnsi"/>
        <w:b/>
        <w:i/>
        <w:color w:val="1F497D" w:themeColor="text2"/>
        <w:sz w:val="20"/>
        <w:szCs w:val="20"/>
      </w:rPr>
    </w:pPr>
    <w:r w:rsidRPr="003355BE">
      <w:rPr>
        <w:rFonts w:asciiTheme="majorHAnsi" w:hAnsiTheme="majorHAnsi" w:cs="Times New Roman"/>
        <w:b/>
        <w:i/>
        <w:color w:val="1F497D" w:themeColor="text2"/>
        <w:sz w:val="20"/>
        <w:szCs w:val="20"/>
      </w:rPr>
      <w:t xml:space="preserve">Μητροπόλεως 42,  105 63 Αθήνα · </w:t>
    </w:r>
    <w:proofErr w:type="spellStart"/>
    <w:r w:rsidRPr="003355BE">
      <w:rPr>
        <w:rFonts w:asciiTheme="majorHAnsi" w:hAnsiTheme="majorHAnsi" w:cs="Times New Roman"/>
        <w:b/>
        <w:i/>
        <w:color w:val="1F497D" w:themeColor="text2"/>
        <w:sz w:val="20"/>
        <w:szCs w:val="20"/>
      </w:rPr>
      <w:t>τηλ</w:t>
    </w:r>
    <w:proofErr w:type="spellEnd"/>
    <w:r w:rsidRPr="003355BE">
      <w:rPr>
        <w:rFonts w:asciiTheme="majorHAnsi" w:hAnsiTheme="majorHAnsi" w:cs="Times New Roman"/>
        <w:b/>
        <w:i/>
        <w:color w:val="1F497D" w:themeColor="text2"/>
        <w:sz w:val="20"/>
        <w:szCs w:val="20"/>
      </w:rPr>
      <w:t xml:space="preserve">.: 210 3259200,  </w:t>
    </w:r>
    <w:r w:rsidRPr="003355BE">
      <w:rPr>
        <w:rFonts w:asciiTheme="majorHAnsi" w:hAnsiTheme="majorHAnsi" w:cs="Times New Roman"/>
        <w:b/>
        <w:i/>
        <w:color w:val="1F497D" w:themeColor="text2"/>
        <w:sz w:val="20"/>
        <w:szCs w:val="20"/>
        <w:lang w:val="en-US"/>
      </w:rPr>
      <w:t>fax</w:t>
    </w:r>
    <w:r w:rsidRPr="003355BE">
      <w:rPr>
        <w:rFonts w:asciiTheme="majorHAnsi" w:hAnsiTheme="majorHAnsi" w:cs="Times New Roman"/>
        <w:b/>
        <w:i/>
        <w:color w:val="1F497D" w:themeColor="text2"/>
        <w:sz w:val="20"/>
        <w:szCs w:val="20"/>
      </w:rPr>
      <w:t xml:space="preserve">: 210 3259209, </w:t>
    </w:r>
    <w:r w:rsidRPr="003355BE">
      <w:rPr>
        <w:rFonts w:asciiTheme="majorHAnsi" w:hAnsiTheme="majorHAnsi" w:cs="Times New Roman"/>
        <w:b/>
        <w:i/>
        <w:color w:val="1F497D" w:themeColor="text2"/>
        <w:sz w:val="20"/>
        <w:szCs w:val="20"/>
        <w:lang w:val="en-US"/>
      </w:rPr>
      <w:t>email</w:t>
    </w:r>
    <w:r w:rsidRPr="003355BE">
      <w:rPr>
        <w:rFonts w:asciiTheme="majorHAnsi" w:hAnsiTheme="majorHAnsi" w:cs="Times New Roman"/>
        <w:b/>
        <w:i/>
        <w:color w:val="1F497D" w:themeColor="text2"/>
        <w:sz w:val="20"/>
        <w:szCs w:val="20"/>
      </w:rPr>
      <w:t xml:space="preserve">: </w:t>
    </w:r>
    <w:r w:rsidRPr="003355BE">
      <w:rPr>
        <w:rFonts w:asciiTheme="majorHAnsi" w:hAnsiTheme="majorHAnsi" w:cs="Times New Roman"/>
        <w:b/>
        <w:i/>
        <w:color w:val="1F497D" w:themeColor="text2"/>
        <w:sz w:val="20"/>
        <w:szCs w:val="20"/>
        <w:lang w:val="en-US"/>
      </w:rPr>
      <w:t>info</w:t>
    </w:r>
    <w:r w:rsidRPr="003355BE">
      <w:rPr>
        <w:rFonts w:asciiTheme="majorHAnsi" w:hAnsiTheme="majorHAnsi" w:cs="Times New Roman"/>
        <w:b/>
        <w:i/>
        <w:color w:val="1F497D" w:themeColor="text2"/>
        <w:sz w:val="20"/>
        <w:szCs w:val="20"/>
      </w:rPr>
      <w:t>@</w:t>
    </w:r>
    <w:proofErr w:type="spellStart"/>
    <w:r w:rsidRPr="003355BE">
      <w:rPr>
        <w:rFonts w:asciiTheme="majorHAnsi" w:hAnsiTheme="majorHAnsi" w:cs="Times New Roman"/>
        <w:b/>
        <w:i/>
        <w:color w:val="1F497D" w:themeColor="text2"/>
        <w:sz w:val="20"/>
        <w:szCs w:val="20"/>
        <w:lang w:val="en-US"/>
      </w:rPr>
      <w:t>esee</w:t>
    </w:r>
    <w:proofErr w:type="spellEnd"/>
    <w:r w:rsidRPr="003355BE">
      <w:rPr>
        <w:rFonts w:asciiTheme="majorHAnsi" w:hAnsiTheme="majorHAnsi" w:cs="Times New Roman"/>
        <w:b/>
        <w:i/>
        <w:color w:val="1F497D" w:themeColor="text2"/>
        <w:sz w:val="20"/>
        <w:szCs w:val="20"/>
      </w:rPr>
      <w:t>.</w:t>
    </w:r>
    <w:proofErr w:type="spellStart"/>
    <w:r w:rsidRPr="003355BE">
      <w:rPr>
        <w:rFonts w:asciiTheme="majorHAnsi" w:hAnsiTheme="majorHAnsi" w:cs="Times New Roman"/>
        <w:b/>
        <w:i/>
        <w:color w:val="1F497D" w:themeColor="text2"/>
        <w:sz w:val="20"/>
        <w:szCs w:val="20"/>
        <w:lang w:val="en-US"/>
      </w:rPr>
      <w:t>gr</w:t>
    </w:r>
    <w:proofErr w:type="spellEnd"/>
  </w:p>
  <w:p w:rsidR="003355BE" w:rsidRDefault="003355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51" w:rsidRDefault="00DD4951" w:rsidP="003355BE">
      <w:pPr>
        <w:spacing w:after="0" w:line="240" w:lineRule="auto"/>
      </w:pPr>
      <w:r>
        <w:separator/>
      </w:r>
    </w:p>
  </w:footnote>
  <w:footnote w:type="continuationSeparator" w:id="0">
    <w:p w:rsidR="00DD4951" w:rsidRDefault="00DD4951" w:rsidP="003355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60650"/>
    <w:multiLevelType w:val="hybridMultilevel"/>
    <w:tmpl w:val="AAECC1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02541F"/>
    <w:multiLevelType w:val="hybridMultilevel"/>
    <w:tmpl w:val="B93CC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651080"/>
    <w:multiLevelType w:val="hybridMultilevel"/>
    <w:tmpl w:val="79AEAF10"/>
    <w:lvl w:ilvl="0" w:tplc="00000001">
      <w:start w:val="1"/>
      <w:numFmt w:val="bullet"/>
      <w:lvlText w:val=""/>
      <w:lvlJc w:val="left"/>
      <w:pPr>
        <w:ind w:left="720" w:hanging="360"/>
      </w:pPr>
      <w:rPr>
        <w:rFonts w:ascii="Symbol" w:hAnsi="Symbol" w:cs="Symbol"/>
        <w:sz w:val="28"/>
        <w:szCs w:val="2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27727805"/>
    <w:multiLevelType w:val="hybridMultilevel"/>
    <w:tmpl w:val="6408E30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5">
    <w:nsid w:val="37A9084A"/>
    <w:multiLevelType w:val="hybridMultilevel"/>
    <w:tmpl w:val="690C5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DB19E7"/>
    <w:multiLevelType w:val="hybridMultilevel"/>
    <w:tmpl w:val="EA6AACF4"/>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277DE6"/>
    <w:multiLevelType w:val="hybridMultilevel"/>
    <w:tmpl w:val="6E320A02"/>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0A7F61"/>
    <w:multiLevelType w:val="hybridMultilevel"/>
    <w:tmpl w:val="F1D047B6"/>
    <w:lvl w:ilvl="0" w:tplc="371EF540">
      <w:start w:val="1"/>
      <w:numFmt w:val="decimal"/>
      <w:lvlText w:val="%1."/>
      <w:lvlJc w:val="left"/>
      <w:pPr>
        <w:tabs>
          <w:tab w:val="num" w:pos="740"/>
        </w:tabs>
        <w:ind w:left="740" w:hanging="38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9">
    <w:nsid w:val="4C964C78"/>
    <w:multiLevelType w:val="hybridMultilevel"/>
    <w:tmpl w:val="CB5C0406"/>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BB33A5"/>
    <w:multiLevelType w:val="hybridMultilevel"/>
    <w:tmpl w:val="00285EE8"/>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1B54C93"/>
    <w:multiLevelType w:val="hybridMultilevel"/>
    <w:tmpl w:val="CD828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80D2643"/>
    <w:multiLevelType w:val="hybridMultilevel"/>
    <w:tmpl w:val="47DE984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5C2D763B"/>
    <w:multiLevelType w:val="hybridMultilevel"/>
    <w:tmpl w:val="FFE6C850"/>
    <w:lvl w:ilvl="0" w:tplc="04080013">
      <w:start w:val="1"/>
      <w:numFmt w:val="upperRoman"/>
      <w:lvlText w:val="%1."/>
      <w:lvlJc w:val="righ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5C5315DE"/>
    <w:multiLevelType w:val="hybridMultilevel"/>
    <w:tmpl w:val="3A089026"/>
    <w:lvl w:ilvl="0" w:tplc="04090001">
      <w:start w:val="1"/>
      <w:numFmt w:val="bullet"/>
      <w:lvlText w:val=""/>
      <w:lvlJc w:val="left"/>
      <w:pPr>
        <w:ind w:left="1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DCA5E29"/>
    <w:multiLevelType w:val="hybridMultilevel"/>
    <w:tmpl w:val="08E8092A"/>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46C12F1"/>
    <w:multiLevelType w:val="hybridMultilevel"/>
    <w:tmpl w:val="4D342C2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7E526933"/>
    <w:multiLevelType w:val="hybridMultilevel"/>
    <w:tmpl w:val="3E0E140E"/>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E6B17A4"/>
    <w:multiLevelType w:val="hybridMultilevel"/>
    <w:tmpl w:val="CC9E5FA8"/>
    <w:lvl w:ilvl="0" w:tplc="00000001">
      <w:start w:val="1"/>
      <w:numFmt w:val="bullet"/>
      <w:lvlText w:val=""/>
      <w:lvlJc w:val="left"/>
      <w:pPr>
        <w:ind w:left="720" w:hanging="360"/>
      </w:pPr>
      <w:rPr>
        <w:rFonts w:ascii="Symbol" w:hAnsi="Symbol" w:cs="Symbol"/>
        <w:sz w:val="28"/>
        <w:szCs w:val="2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1"/>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15CE9"/>
    <w:rsid w:val="00006A75"/>
    <w:rsid w:val="0002389D"/>
    <w:rsid w:val="00052138"/>
    <w:rsid w:val="00066F46"/>
    <w:rsid w:val="00084AF3"/>
    <w:rsid w:val="000A099E"/>
    <w:rsid w:val="000A2184"/>
    <w:rsid w:val="000B64CE"/>
    <w:rsid w:val="000C05B0"/>
    <w:rsid w:val="000D0B5E"/>
    <w:rsid w:val="00103F08"/>
    <w:rsid w:val="001252FD"/>
    <w:rsid w:val="001566A7"/>
    <w:rsid w:val="0016634E"/>
    <w:rsid w:val="00171921"/>
    <w:rsid w:val="0017799A"/>
    <w:rsid w:val="001800DB"/>
    <w:rsid w:val="00192158"/>
    <w:rsid w:val="001A1235"/>
    <w:rsid w:val="001B0059"/>
    <w:rsid w:val="002124F2"/>
    <w:rsid w:val="00225CEA"/>
    <w:rsid w:val="00234DE0"/>
    <w:rsid w:val="0025003D"/>
    <w:rsid w:val="002561D7"/>
    <w:rsid w:val="00263C7E"/>
    <w:rsid w:val="00275F27"/>
    <w:rsid w:val="002A28C6"/>
    <w:rsid w:val="002A5116"/>
    <w:rsid w:val="002B4907"/>
    <w:rsid w:val="002C47CB"/>
    <w:rsid w:val="002F3649"/>
    <w:rsid w:val="002F4C2E"/>
    <w:rsid w:val="002F73B6"/>
    <w:rsid w:val="00304653"/>
    <w:rsid w:val="00305351"/>
    <w:rsid w:val="003153A3"/>
    <w:rsid w:val="00315D1D"/>
    <w:rsid w:val="00333957"/>
    <w:rsid w:val="003355BE"/>
    <w:rsid w:val="00337A00"/>
    <w:rsid w:val="0034621C"/>
    <w:rsid w:val="00353F7E"/>
    <w:rsid w:val="00357CB1"/>
    <w:rsid w:val="00372531"/>
    <w:rsid w:val="003A76FD"/>
    <w:rsid w:val="003B1973"/>
    <w:rsid w:val="003B6526"/>
    <w:rsid w:val="003B7942"/>
    <w:rsid w:val="003C0D75"/>
    <w:rsid w:val="004034F7"/>
    <w:rsid w:val="00413080"/>
    <w:rsid w:val="004240F1"/>
    <w:rsid w:val="004427EB"/>
    <w:rsid w:val="00464454"/>
    <w:rsid w:val="00481FA2"/>
    <w:rsid w:val="004B158C"/>
    <w:rsid w:val="004B1639"/>
    <w:rsid w:val="004B4636"/>
    <w:rsid w:val="004C1745"/>
    <w:rsid w:val="004D4874"/>
    <w:rsid w:val="004E081A"/>
    <w:rsid w:val="00503FA5"/>
    <w:rsid w:val="0051692D"/>
    <w:rsid w:val="00516B4D"/>
    <w:rsid w:val="0052054C"/>
    <w:rsid w:val="00532176"/>
    <w:rsid w:val="005328CB"/>
    <w:rsid w:val="0054348D"/>
    <w:rsid w:val="00552288"/>
    <w:rsid w:val="00571891"/>
    <w:rsid w:val="005855C7"/>
    <w:rsid w:val="0058565E"/>
    <w:rsid w:val="00587DD8"/>
    <w:rsid w:val="00591083"/>
    <w:rsid w:val="00592D5C"/>
    <w:rsid w:val="00594899"/>
    <w:rsid w:val="00594A88"/>
    <w:rsid w:val="005C7A60"/>
    <w:rsid w:val="005F0D93"/>
    <w:rsid w:val="005F5867"/>
    <w:rsid w:val="00607FB4"/>
    <w:rsid w:val="0062166F"/>
    <w:rsid w:val="006258F0"/>
    <w:rsid w:val="00654A6F"/>
    <w:rsid w:val="00657094"/>
    <w:rsid w:val="00670299"/>
    <w:rsid w:val="006732AC"/>
    <w:rsid w:val="006931AF"/>
    <w:rsid w:val="0069638F"/>
    <w:rsid w:val="006C52E7"/>
    <w:rsid w:val="006C5B34"/>
    <w:rsid w:val="006D319D"/>
    <w:rsid w:val="006D6336"/>
    <w:rsid w:val="006F5E1C"/>
    <w:rsid w:val="007133C3"/>
    <w:rsid w:val="00723500"/>
    <w:rsid w:val="00725624"/>
    <w:rsid w:val="00727CB2"/>
    <w:rsid w:val="00742B5E"/>
    <w:rsid w:val="00751BFB"/>
    <w:rsid w:val="007650AD"/>
    <w:rsid w:val="007707EF"/>
    <w:rsid w:val="00776F9A"/>
    <w:rsid w:val="0078329E"/>
    <w:rsid w:val="0079679A"/>
    <w:rsid w:val="007A4848"/>
    <w:rsid w:val="007B1D34"/>
    <w:rsid w:val="007B3A41"/>
    <w:rsid w:val="007C4341"/>
    <w:rsid w:val="007E19E0"/>
    <w:rsid w:val="007E3107"/>
    <w:rsid w:val="00800ABC"/>
    <w:rsid w:val="00826ED4"/>
    <w:rsid w:val="008309C2"/>
    <w:rsid w:val="00847D49"/>
    <w:rsid w:val="00873F55"/>
    <w:rsid w:val="008B1171"/>
    <w:rsid w:val="008B451B"/>
    <w:rsid w:val="008F2605"/>
    <w:rsid w:val="00910DC8"/>
    <w:rsid w:val="009120C2"/>
    <w:rsid w:val="009203A7"/>
    <w:rsid w:val="00933EFF"/>
    <w:rsid w:val="00947930"/>
    <w:rsid w:val="0095065F"/>
    <w:rsid w:val="0095373F"/>
    <w:rsid w:val="0095629A"/>
    <w:rsid w:val="009725F1"/>
    <w:rsid w:val="00975166"/>
    <w:rsid w:val="0098030C"/>
    <w:rsid w:val="009B3363"/>
    <w:rsid w:val="009C1F9E"/>
    <w:rsid w:val="009C236E"/>
    <w:rsid w:val="009D6079"/>
    <w:rsid w:val="009F69FE"/>
    <w:rsid w:val="00A007A4"/>
    <w:rsid w:val="00A01679"/>
    <w:rsid w:val="00A03F30"/>
    <w:rsid w:val="00A2219D"/>
    <w:rsid w:val="00A578BF"/>
    <w:rsid w:val="00A83FF4"/>
    <w:rsid w:val="00AA5359"/>
    <w:rsid w:val="00AA78EF"/>
    <w:rsid w:val="00AB29E4"/>
    <w:rsid w:val="00AD7F65"/>
    <w:rsid w:val="00AE0F14"/>
    <w:rsid w:val="00AE2857"/>
    <w:rsid w:val="00AF066D"/>
    <w:rsid w:val="00B02D33"/>
    <w:rsid w:val="00B103BC"/>
    <w:rsid w:val="00B63C90"/>
    <w:rsid w:val="00B734AE"/>
    <w:rsid w:val="00B7592E"/>
    <w:rsid w:val="00B77FDD"/>
    <w:rsid w:val="00BA42F4"/>
    <w:rsid w:val="00BB1E08"/>
    <w:rsid w:val="00BF13E6"/>
    <w:rsid w:val="00BF1D72"/>
    <w:rsid w:val="00C028C5"/>
    <w:rsid w:val="00C11279"/>
    <w:rsid w:val="00C15755"/>
    <w:rsid w:val="00C15CE9"/>
    <w:rsid w:val="00C22A27"/>
    <w:rsid w:val="00C242E4"/>
    <w:rsid w:val="00C326BC"/>
    <w:rsid w:val="00C34D2C"/>
    <w:rsid w:val="00C459C0"/>
    <w:rsid w:val="00C51C9E"/>
    <w:rsid w:val="00C70810"/>
    <w:rsid w:val="00CC3B05"/>
    <w:rsid w:val="00CD00F6"/>
    <w:rsid w:val="00CD0E67"/>
    <w:rsid w:val="00CE21C8"/>
    <w:rsid w:val="00CE2D76"/>
    <w:rsid w:val="00CE6300"/>
    <w:rsid w:val="00D14BF6"/>
    <w:rsid w:val="00D31D8D"/>
    <w:rsid w:val="00D450E5"/>
    <w:rsid w:val="00D455DF"/>
    <w:rsid w:val="00D55A03"/>
    <w:rsid w:val="00D6348E"/>
    <w:rsid w:val="00D675DA"/>
    <w:rsid w:val="00D705A5"/>
    <w:rsid w:val="00D77F34"/>
    <w:rsid w:val="00D843AD"/>
    <w:rsid w:val="00D919D0"/>
    <w:rsid w:val="00D92E9C"/>
    <w:rsid w:val="00DC705B"/>
    <w:rsid w:val="00DD0A5A"/>
    <w:rsid w:val="00DD4951"/>
    <w:rsid w:val="00DD57DA"/>
    <w:rsid w:val="00DE7773"/>
    <w:rsid w:val="00E03764"/>
    <w:rsid w:val="00E23BF1"/>
    <w:rsid w:val="00E3059A"/>
    <w:rsid w:val="00E33195"/>
    <w:rsid w:val="00E413B7"/>
    <w:rsid w:val="00E528AA"/>
    <w:rsid w:val="00E64512"/>
    <w:rsid w:val="00E70D7A"/>
    <w:rsid w:val="00E71E65"/>
    <w:rsid w:val="00E77EB5"/>
    <w:rsid w:val="00E854FC"/>
    <w:rsid w:val="00EA2BF8"/>
    <w:rsid w:val="00EB3C2E"/>
    <w:rsid w:val="00EC4733"/>
    <w:rsid w:val="00EE18AA"/>
    <w:rsid w:val="00EF63A1"/>
    <w:rsid w:val="00EF7283"/>
    <w:rsid w:val="00F273D9"/>
    <w:rsid w:val="00F72521"/>
    <w:rsid w:val="00F92E99"/>
    <w:rsid w:val="00F93FB6"/>
    <w:rsid w:val="00FA421E"/>
    <w:rsid w:val="00FA6F60"/>
    <w:rsid w:val="00FC472D"/>
    <w:rsid w:val="00FD2B15"/>
    <w:rsid w:val="00FE1EEE"/>
    <w:rsid w:val="00FE5F4C"/>
    <w:rsid w:val="00FE6090"/>
    <w:rsid w:val="00FF3E75"/>
    <w:rsid w:val="00FF43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5C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5CE9"/>
    <w:rPr>
      <w:rFonts w:ascii="Tahoma" w:hAnsi="Tahoma" w:cs="Tahoma"/>
      <w:sz w:val="16"/>
      <w:szCs w:val="16"/>
    </w:rPr>
  </w:style>
  <w:style w:type="paragraph" w:styleId="a4">
    <w:name w:val="header"/>
    <w:basedOn w:val="a"/>
    <w:link w:val="Char0"/>
    <w:uiPriority w:val="99"/>
    <w:semiHidden/>
    <w:unhideWhenUsed/>
    <w:rsid w:val="003355BE"/>
    <w:pPr>
      <w:tabs>
        <w:tab w:val="center" w:pos="4153"/>
        <w:tab w:val="right" w:pos="8306"/>
      </w:tabs>
      <w:spacing w:after="0" w:line="240" w:lineRule="auto"/>
    </w:pPr>
  </w:style>
  <w:style w:type="character" w:customStyle="1" w:styleId="Char0">
    <w:name w:val="Κεφαλίδα Char"/>
    <w:basedOn w:val="a0"/>
    <w:link w:val="a4"/>
    <w:uiPriority w:val="99"/>
    <w:semiHidden/>
    <w:rsid w:val="003355BE"/>
  </w:style>
  <w:style w:type="paragraph" w:styleId="a5">
    <w:name w:val="footer"/>
    <w:basedOn w:val="a"/>
    <w:link w:val="Char1"/>
    <w:uiPriority w:val="99"/>
    <w:semiHidden/>
    <w:unhideWhenUsed/>
    <w:rsid w:val="003355BE"/>
    <w:pPr>
      <w:tabs>
        <w:tab w:val="center" w:pos="4153"/>
        <w:tab w:val="right" w:pos="8306"/>
      </w:tabs>
      <w:spacing w:after="0" w:line="240" w:lineRule="auto"/>
    </w:pPr>
  </w:style>
  <w:style w:type="character" w:customStyle="1" w:styleId="Char1">
    <w:name w:val="Υποσέλιδο Char"/>
    <w:basedOn w:val="a0"/>
    <w:link w:val="a5"/>
    <w:uiPriority w:val="99"/>
    <w:semiHidden/>
    <w:rsid w:val="003355BE"/>
  </w:style>
  <w:style w:type="paragraph" w:customStyle="1" w:styleId="s10">
    <w:name w:val="s10"/>
    <w:basedOn w:val="a"/>
    <w:rsid w:val="00532176"/>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12">
    <w:name w:val="s12"/>
    <w:basedOn w:val="a"/>
    <w:rsid w:val="00532176"/>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9">
    <w:name w:val="s9"/>
    <w:basedOn w:val="a0"/>
    <w:rsid w:val="00532176"/>
  </w:style>
  <w:style w:type="character" w:customStyle="1" w:styleId="s11">
    <w:name w:val="s11"/>
    <w:basedOn w:val="a0"/>
    <w:rsid w:val="00532176"/>
  </w:style>
  <w:style w:type="character" w:customStyle="1" w:styleId="s13">
    <w:name w:val="s13"/>
    <w:basedOn w:val="a0"/>
    <w:rsid w:val="00532176"/>
  </w:style>
  <w:style w:type="paragraph" w:customStyle="1" w:styleId="s5">
    <w:name w:val="s5"/>
    <w:basedOn w:val="a"/>
    <w:rsid w:val="007E3107"/>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3">
    <w:name w:val="s3"/>
    <w:basedOn w:val="a0"/>
    <w:rsid w:val="007E3107"/>
  </w:style>
  <w:style w:type="character" w:customStyle="1" w:styleId="s8">
    <w:name w:val="s8"/>
    <w:basedOn w:val="a0"/>
    <w:rsid w:val="007E3107"/>
  </w:style>
  <w:style w:type="paragraph" w:styleId="a6">
    <w:name w:val="List Paragraph"/>
    <w:basedOn w:val="a"/>
    <w:uiPriority w:val="34"/>
    <w:qFormat/>
    <w:rsid w:val="004C1745"/>
    <w:pPr>
      <w:ind w:left="720"/>
      <w:contextualSpacing/>
    </w:pPr>
    <w:rPr>
      <w:rFonts w:ascii="Calibri" w:eastAsia="Calibri" w:hAnsi="Calibri" w:cs="Times New Roman"/>
    </w:rPr>
  </w:style>
  <w:style w:type="paragraph" w:styleId="2">
    <w:name w:val="Body Text Indent 2"/>
    <w:basedOn w:val="a"/>
    <w:link w:val="2Char"/>
    <w:rsid w:val="001800DB"/>
    <w:pPr>
      <w:spacing w:after="120" w:line="480" w:lineRule="auto"/>
      <w:ind w:left="283"/>
    </w:pPr>
    <w:rPr>
      <w:rFonts w:ascii="Times New Roman" w:eastAsia="Times New Roman" w:hAnsi="Times New Roman" w:cs="Times New Roman"/>
      <w:sz w:val="24"/>
      <w:szCs w:val="24"/>
      <w:lang w:eastAsia="el-GR"/>
    </w:rPr>
  </w:style>
  <w:style w:type="character" w:customStyle="1" w:styleId="2Char">
    <w:name w:val="Σώμα κείμενου με εσοχή 2 Char"/>
    <w:basedOn w:val="a0"/>
    <w:link w:val="2"/>
    <w:rsid w:val="001800DB"/>
    <w:rPr>
      <w:rFonts w:ascii="Times New Roman" w:eastAsia="Times New Roman" w:hAnsi="Times New Roman" w:cs="Times New Roman"/>
      <w:sz w:val="24"/>
      <w:szCs w:val="24"/>
      <w:lang w:eastAsia="el-GR"/>
    </w:rPr>
  </w:style>
  <w:style w:type="paragraph" w:styleId="Web">
    <w:name w:val="Normal (Web)"/>
    <w:basedOn w:val="a"/>
    <w:uiPriority w:val="99"/>
    <w:unhideWhenUsed/>
    <w:rsid w:val="00552288"/>
    <w:pPr>
      <w:spacing w:before="100" w:beforeAutospacing="1" w:after="100" w:afterAutospacing="1" w:line="240" w:lineRule="auto"/>
    </w:pPr>
    <w:rPr>
      <w:rFonts w:ascii="Times New Roman" w:hAnsi="Times New Roman" w:cs="Times New Roman"/>
      <w:sz w:val="24"/>
      <w:szCs w:val="24"/>
      <w:lang w:eastAsia="el-GR"/>
    </w:rPr>
  </w:style>
  <w:style w:type="character" w:styleId="a7">
    <w:name w:val="Emphasis"/>
    <w:basedOn w:val="a0"/>
    <w:qFormat/>
    <w:rsid w:val="00CD00F6"/>
    <w:rPr>
      <w:i/>
      <w:iCs/>
    </w:rPr>
  </w:style>
  <w:style w:type="paragraph" w:customStyle="1" w:styleId="s4">
    <w:name w:val="s4"/>
    <w:basedOn w:val="a"/>
    <w:rsid w:val="005F5867"/>
    <w:pPr>
      <w:spacing w:before="100" w:beforeAutospacing="1" w:after="100" w:afterAutospacing="1" w:line="240" w:lineRule="auto"/>
    </w:pPr>
    <w:rPr>
      <w:rFonts w:ascii="Times New Roman" w:hAnsi="Times New Roman" w:cs="Times New Roman"/>
      <w:sz w:val="24"/>
      <w:szCs w:val="24"/>
      <w:lang w:eastAsia="el-GR"/>
    </w:rPr>
  </w:style>
  <w:style w:type="paragraph" w:customStyle="1" w:styleId="yiv3201444370msonormal">
    <w:name w:val="yiv3201444370msonormal"/>
    <w:basedOn w:val="a"/>
    <w:rsid w:val="00654A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ody Text"/>
    <w:basedOn w:val="a"/>
    <w:link w:val="Char2"/>
    <w:uiPriority w:val="99"/>
    <w:semiHidden/>
    <w:unhideWhenUsed/>
    <w:rsid w:val="006C5B34"/>
    <w:pPr>
      <w:spacing w:after="120"/>
    </w:pPr>
  </w:style>
  <w:style w:type="character" w:customStyle="1" w:styleId="Char2">
    <w:name w:val="Σώμα κειμένου Char"/>
    <w:basedOn w:val="a0"/>
    <w:link w:val="a8"/>
    <w:uiPriority w:val="99"/>
    <w:semiHidden/>
    <w:rsid w:val="006C5B34"/>
  </w:style>
  <w:style w:type="paragraph" w:styleId="a9">
    <w:name w:val="caption"/>
    <w:basedOn w:val="a"/>
    <w:next w:val="a"/>
    <w:semiHidden/>
    <w:unhideWhenUsed/>
    <w:qFormat/>
    <w:rsid w:val="006C5B34"/>
    <w:pPr>
      <w:spacing w:after="0" w:line="240" w:lineRule="auto"/>
      <w:jc w:val="center"/>
    </w:pPr>
    <w:rPr>
      <w:rFonts w:ascii="Times New Roman" w:eastAsia="Times New Roman" w:hAnsi="Times New Roman" w:cs="Times New Roman"/>
      <w:b/>
      <w:bCs/>
      <w:i/>
      <w:iCs/>
      <w:sz w:val="24"/>
      <w:szCs w:val="24"/>
      <w:lang w:eastAsia="el-GR"/>
    </w:rPr>
  </w:style>
  <w:style w:type="paragraph" w:customStyle="1" w:styleId="s2">
    <w:name w:val="s2"/>
    <w:basedOn w:val="a"/>
    <w:rsid w:val="006C5B34"/>
    <w:pPr>
      <w:spacing w:before="100" w:beforeAutospacing="1" w:after="100" w:afterAutospacing="1" w:line="240" w:lineRule="auto"/>
    </w:pPr>
    <w:rPr>
      <w:rFonts w:ascii="Times New Roman" w:hAnsi="Times New Roman" w:cs="Times New Roman"/>
      <w:sz w:val="24"/>
      <w:szCs w:val="24"/>
      <w:lang w:eastAsia="el-GR"/>
    </w:rPr>
  </w:style>
  <w:style w:type="character" w:customStyle="1" w:styleId="bumpedfont15">
    <w:name w:val="bumpedfont15"/>
    <w:basedOn w:val="a0"/>
    <w:rsid w:val="006C5B34"/>
  </w:style>
  <w:style w:type="paragraph" w:styleId="aa">
    <w:name w:val="footnote text"/>
    <w:basedOn w:val="a"/>
    <w:link w:val="Char3"/>
    <w:uiPriority w:val="99"/>
    <w:semiHidden/>
    <w:unhideWhenUsed/>
    <w:rsid w:val="009F69FE"/>
    <w:pPr>
      <w:spacing w:after="0" w:line="240" w:lineRule="auto"/>
    </w:pPr>
    <w:rPr>
      <w:rFonts w:ascii="Times New Roman" w:eastAsia="Times New Roman" w:hAnsi="Times New Roman" w:cs="Times New Roman"/>
      <w:sz w:val="20"/>
      <w:szCs w:val="20"/>
      <w:lang w:eastAsia="el-GR"/>
    </w:rPr>
  </w:style>
  <w:style w:type="character" w:customStyle="1" w:styleId="Char3">
    <w:name w:val="Κείμενο υποσημείωσης Char"/>
    <w:basedOn w:val="a0"/>
    <w:link w:val="aa"/>
    <w:uiPriority w:val="99"/>
    <w:semiHidden/>
    <w:rsid w:val="009F69FE"/>
    <w:rPr>
      <w:rFonts w:ascii="Times New Roman" w:eastAsia="Times New Roman" w:hAnsi="Times New Roman" w:cs="Times New Roman"/>
      <w:sz w:val="20"/>
      <w:szCs w:val="20"/>
      <w:lang w:eastAsia="el-GR"/>
    </w:rPr>
  </w:style>
  <w:style w:type="paragraph" w:customStyle="1" w:styleId="TableParagraph">
    <w:name w:val="Table Paragraph"/>
    <w:basedOn w:val="a"/>
    <w:uiPriority w:val="1"/>
    <w:qFormat/>
    <w:rsid w:val="009F69FE"/>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styleId="ab">
    <w:name w:val="footnote reference"/>
    <w:basedOn w:val="a0"/>
    <w:uiPriority w:val="99"/>
    <w:semiHidden/>
    <w:unhideWhenUsed/>
    <w:rsid w:val="009F69FE"/>
    <w:rPr>
      <w:vertAlign w:val="superscript"/>
    </w:rPr>
  </w:style>
  <w:style w:type="character" w:styleId="-">
    <w:name w:val="Hyperlink"/>
    <w:basedOn w:val="a0"/>
    <w:uiPriority w:val="99"/>
    <w:semiHidden/>
    <w:unhideWhenUsed/>
    <w:rsid w:val="009F69FE"/>
    <w:rPr>
      <w:color w:val="0000FF"/>
      <w:u w:val="single"/>
    </w:rPr>
  </w:style>
  <w:style w:type="paragraph" w:styleId="ac">
    <w:name w:val="Body Text Indent"/>
    <w:basedOn w:val="a"/>
    <w:link w:val="Char4"/>
    <w:uiPriority w:val="99"/>
    <w:semiHidden/>
    <w:unhideWhenUsed/>
    <w:rsid w:val="009B3363"/>
    <w:pPr>
      <w:spacing w:after="120"/>
      <w:ind w:left="283"/>
    </w:pPr>
  </w:style>
  <w:style w:type="character" w:customStyle="1" w:styleId="Char4">
    <w:name w:val="Σώμα κείμενου με εσοχή Char"/>
    <w:basedOn w:val="a0"/>
    <w:link w:val="ac"/>
    <w:uiPriority w:val="99"/>
    <w:semiHidden/>
    <w:rsid w:val="009B3363"/>
  </w:style>
  <w:style w:type="character" w:styleId="ad">
    <w:name w:val="Strong"/>
    <w:basedOn w:val="a0"/>
    <w:qFormat/>
    <w:rsid w:val="009B3363"/>
    <w:rPr>
      <w:b/>
      <w:bCs/>
    </w:rPr>
  </w:style>
  <w:style w:type="paragraph" w:customStyle="1" w:styleId="s19">
    <w:name w:val="s19"/>
    <w:basedOn w:val="a"/>
    <w:rsid w:val="00E71E65"/>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16">
    <w:name w:val="s16"/>
    <w:basedOn w:val="a0"/>
    <w:rsid w:val="00E71E65"/>
  </w:style>
  <w:style w:type="paragraph" w:customStyle="1" w:styleId="s6">
    <w:name w:val="s6"/>
    <w:basedOn w:val="a"/>
    <w:rsid w:val="002124F2"/>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7">
    <w:name w:val="s7"/>
    <w:basedOn w:val="a0"/>
    <w:rsid w:val="002124F2"/>
  </w:style>
  <w:style w:type="character" w:customStyle="1" w:styleId="s15">
    <w:name w:val="s15"/>
    <w:basedOn w:val="a0"/>
    <w:rsid w:val="002124F2"/>
  </w:style>
  <w:style w:type="paragraph" w:styleId="20">
    <w:name w:val="Body Text 2"/>
    <w:basedOn w:val="a"/>
    <w:link w:val="2Char0"/>
    <w:uiPriority w:val="99"/>
    <w:semiHidden/>
    <w:unhideWhenUsed/>
    <w:rsid w:val="009120C2"/>
    <w:pPr>
      <w:spacing w:after="120" w:line="480" w:lineRule="auto"/>
    </w:pPr>
  </w:style>
  <w:style w:type="character" w:customStyle="1" w:styleId="2Char0">
    <w:name w:val="Σώμα κείμενου 2 Char"/>
    <w:basedOn w:val="a0"/>
    <w:link w:val="20"/>
    <w:uiPriority w:val="99"/>
    <w:semiHidden/>
    <w:rsid w:val="009120C2"/>
  </w:style>
  <w:style w:type="character" w:customStyle="1" w:styleId="s14">
    <w:name w:val="s14"/>
    <w:basedOn w:val="a0"/>
    <w:rsid w:val="00E64512"/>
  </w:style>
  <w:style w:type="paragraph" w:styleId="ae">
    <w:name w:val="Plain Text"/>
    <w:basedOn w:val="a"/>
    <w:link w:val="Char5"/>
    <w:uiPriority w:val="99"/>
    <w:rsid w:val="00E64512"/>
    <w:pPr>
      <w:spacing w:after="0" w:line="240" w:lineRule="auto"/>
    </w:pPr>
    <w:rPr>
      <w:rFonts w:ascii="Consolas" w:eastAsia="Calibri" w:hAnsi="Consolas" w:cs="Times New Roman"/>
      <w:sz w:val="21"/>
      <w:szCs w:val="21"/>
    </w:rPr>
  </w:style>
  <w:style w:type="character" w:customStyle="1" w:styleId="Char5">
    <w:name w:val="Απλό κείμενο Char"/>
    <w:basedOn w:val="a0"/>
    <w:link w:val="ae"/>
    <w:uiPriority w:val="99"/>
    <w:rsid w:val="00E64512"/>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918154">
      <w:bodyDiv w:val="1"/>
      <w:marLeft w:val="0"/>
      <w:marRight w:val="0"/>
      <w:marTop w:val="0"/>
      <w:marBottom w:val="0"/>
      <w:divBdr>
        <w:top w:val="none" w:sz="0" w:space="0" w:color="auto"/>
        <w:left w:val="none" w:sz="0" w:space="0" w:color="auto"/>
        <w:bottom w:val="none" w:sz="0" w:space="0" w:color="auto"/>
        <w:right w:val="none" w:sz="0" w:space="0" w:color="auto"/>
      </w:divBdr>
    </w:div>
    <w:div w:id="370039344">
      <w:bodyDiv w:val="1"/>
      <w:marLeft w:val="0"/>
      <w:marRight w:val="0"/>
      <w:marTop w:val="0"/>
      <w:marBottom w:val="0"/>
      <w:divBdr>
        <w:top w:val="none" w:sz="0" w:space="0" w:color="auto"/>
        <w:left w:val="none" w:sz="0" w:space="0" w:color="auto"/>
        <w:bottom w:val="none" w:sz="0" w:space="0" w:color="auto"/>
        <w:right w:val="none" w:sz="0" w:space="0" w:color="auto"/>
      </w:divBdr>
    </w:div>
    <w:div w:id="466246089">
      <w:bodyDiv w:val="1"/>
      <w:marLeft w:val="0"/>
      <w:marRight w:val="0"/>
      <w:marTop w:val="0"/>
      <w:marBottom w:val="0"/>
      <w:divBdr>
        <w:top w:val="none" w:sz="0" w:space="0" w:color="auto"/>
        <w:left w:val="none" w:sz="0" w:space="0" w:color="auto"/>
        <w:bottom w:val="none" w:sz="0" w:space="0" w:color="auto"/>
        <w:right w:val="none" w:sz="0" w:space="0" w:color="auto"/>
      </w:divBdr>
    </w:div>
    <w:div w:id="466507453">
      <w:bodyDiv w:val="1"/>
      <w:marLeft w:val="0"/>
      <w:marRight w:val="0"/>
      <w:marTop w:val="0"/>
      <w:marBottom w:val="0"/>
      <w:divBdr>
        <w:top w:val="none" w:sz="0" w:space="0" w:color="auto"/>
        <w:left w:val="none" w:sz="0" w:space="0" w:color="auto"/>
        <w:bottom w:val="none" w:sz="0" w:space="0" w:color="auto"/>
        <w:right w:val="none" w:sz="0" w:space="0" w:color="auto"/>
      </w:divBdr>
    </w:div>
    <w:div w:id="515850600">
      <w:bodyDiv w:val="1"/>
      <w:marLeft w:val="0"/>
      <w:marRight w:val="0"/>
      <w:marTop w:val="0"/>
      <w:marBottom w:val="0"/>
      <w:divBdr>
        <w:top w:val="none" w:sz="0" w:space="0" w:color="auto"/>
        <w:left w:val="none" w:sz="0" w:space="0" w:color="auto"/>
        <w:bottom w:val="none" w:sz="0" w:space="0" w:color="auto"/>
        <w:right w:val="none" w:sz="0" w:space="0" w:color="auto"/>
      </w:divBdr>
    </w:div>
    <w:div w:id="515968332">
      <w:bodyDiv w:val="1"/>
      <w:marLeft w:val="0"/>
      <w:marRight w:val="0"/>
      <w:marTop w:val="0"/>
      <w:marBottom w:val="0"/>
      <w:divBdr>
        <w:top w:val="none" w:sz="0" w:space="0" w:color="auto"/>
        <w:left w:val="none" w:sz="0" w:space="0" w:color="auto"/>
        <w:bottom w:val="none" w:sz="0" w:space="0" w:color="auto"/>
        <w:right w:val="none" w:sz="0" w:space="0" w:color="auto"/>
      </w:divBdr>
    </w:div>
    <w:div w:id="571814159">
      <w:bodyDiv w:val="1"/>
      <w:marLeft w:val="0"/>
      <w:marRight w:val="0"/>
      <w:marTop w:val="0"/>
      <w:marBottom w:val="0"/>
      <w:divBdr>
        <w:top w:val="none" w:sz="0" w:space="0" w:color="auto"/>
        <w:left w:val="none" w:sz="0" w:space="0" w:color="auto"/>
        <w:bottom w:val="none" w:sz="0" w:space="0" w:color="auto"/>
        <w:right w:val="none" w:sz="0" w:space="0" w:color="auto"/>
      </w:divBdr>
    </w:div>
    <w:div w:id="655651935">
      <w:bodyDiv w:val="1"/>
      <w:marLeft w:val="0"/>
      <w:marRight w:val="0"/>
      <w:marTop w:val="0"/>
      <w:marBottom w:val="0"/>
      <w:divBdr>
        <w:top w:val="none" w:sz="0" w:space="0" w:color="auto"/>
        <w:left w:val="none" w:sz="0" w:space="0" w:color="auto"/>
        <w:bottom w:val="none" w:sz="0" w:space="0" w:color="auto"/>
        <w:right w:val="none" w:sz="0" w:space="0" w:color="auto"/>
      </w:divBdr>
    </w:div>
    <w:div w:id="680088235">
      <w:bodyDiv w:val="1"/>
      <w:marLeft w:val="0"/>
      <w:marRight w:val="0"/>
      <w:marTop w:val="0"/>
      <w:marBottom w:val="0"/>
      <w:divBdr>
        <w:top w:val="none" w:sz="0" w:space="0" w:color="auto"/>
        <w:left w:val="none" w:sz="0" w:space="0" w:color="auto"/>
        <w:bottom w:val="none" w:sz="0" w:space="0" w:color="auto"/>
        <w:right w:val="none" w:sz="0" w:space="0" w:color="auto"/>
      </w:divBdr>
    </w:div>
    <w:div w:id="862859971">
      <w:bodyDiv w:val="1"/>
      <w:marLeft w:val="0"/>
      <w:marRight w:val="0"/>
      <w:marTop w:val="0"/>
      <w:marBottom w:val="0"/>
      <w:divBdr>
        <w:top w:val="none" w:sz="0" w:space="0" w:color="auto"/>
        <w:left w:val="none" w:sz="0" w:space="0" w:color="auto"/>
        <w:bottom w:val="none" w:sz="0" w:space="0" w:color="auto"/>
        <w:right w:val="none" w:sz="0" w:space="0" w:color="auto"/>
      </w:divBdr>
    </w:div>
    <w:div w:id="931744028">
      <w:bodyDiv w:val="1"/>
      <w:marLeft w:val="0"/>
      <w:marRight w:val="0"/>
      <w:marTop w:val="0"/>
      <w:marBottom w:val="0"/>
      <w:divBdr>
        <w:top w:val="none" w:sz="0" w:space="0" w:color="auto"/>
        <w:left w:val="none" w:sz="0" w:space="0" w:color="auto"/>
        <w:bottom w:val="none" w:sz="0" w:space="0" w:color="auto"/>
        <w:right w:val="none" w:sz="0" w:space="0" w:color="auto"/>
      </w:divBdr>
    </w:div>
    <w:div w:id="1040669041">
      <w:bodyDiv w:val="1"/>
      <w:marLeft w:val="0"/>
      <w:marRight w:val="0"/>
      <w:marTop w:val="0"/>
      <w:marBottom w:val="0"/>
      <w:divBdr>
        <w:top w:val="none" w:sz="0" w:space="0" w:color="auto"/>
        <w:left w:val="none" w:sz="0" w:space="0" w:color="auto"/>
        <w:bottom w:val="none" w:sz="0" w:space="0" w:color="auto"/>
        <w:right w:val="none" w:sz="0" w:space="0" w:color="auto"/>
      </w:divBdr>
    </w:div>
    <w:div w:id="1168909595">
      <w:bodyDiv w:val="1"/>
      <w:marLeft w:val="0"/>
      <w:marRight w:val="0"/>
      <w:marTop w:val="0"/>
      <w:marBottom w:val="0"/>
      <w:divBdr>
        <w:top w:val="none" w:sz="0" w:space="0" w:color="auto"/>
        <w:left w:val="none" w:sz="0" w:space="0" w:color="auto"/>
        <w:bottom w:val="none" w:sz="0" w:space="0" w:color="auto"/>
        <w:right w:val="none" w:sz="0" w:space="0" w:color="auto"/>
      </w:divBdr>
    </w:div>
    <w:div w:id="1253781488">
      <w:bodyDiv w:val="1"/>
      <w:marLeft w:val="0"/>
      <w:marRight w:val="0"/>
      <w:marTop w:val="0"/>
      <w:marBottom w:val="0"/>
      <w:divBdr>
        <w:top w:val="none" w:sz="0" w:space="0" w:color="auto"/>
        <w:left w:val="none" w:sz="0" w:space="0" w:color="auto"/>
        <w:bottom w:val="none" w:sz="0" w:space="0" w:color="auto"/>
        <w:right w:val="none" w:sz="0" w:space="0" w:color="auto"/>
      </w:divBdr>
    </w:div>
    <w:div w:id="1331064662">
      <w:bodyDiv w:val="1"/>
      <w:marLeft w:val="0"/>
      <w:marRight w:val="0"/>
      <w:marTop w:val="0"/>
      <w:marBottom w:val="0"/>
      <w:divBdr>
        <w:top w:val="none" w:sz="0" w:space="0" w:color="auto"/>
        <w:left w:val="none" w:sz="0" w:space="0" w:color="auto"/>
        <w:bottom w:val="none" w:sz="0" w:space="0" w:color="auto"/>
        <w:right w:val="none" w:sz="0" w:space="0" w:color="auto"/>
      </w:divBdr>
    </w:div>
    <w:div w:id="1339044692">
      <w:bodyDiv w:val="1"/>
      <w:marLeft w:val="0"/>
      <w:marRight w:val="0"/>
      <w:marTop w:val="0"/>
      <w:marBottom w:val="0"/>
      <w:divBdr>
        <w:top w:val="none" w:sz="0" w:space="0" w:color="auto"/>
        <w:left w:val="none" w:sz="0" w:space="0" w:color="auto"/>
        <w:bottom w:val="none" w:sz="0" w:space="0" w:color="auto"/>
        <w:right w:val="none" w:sz="0" w:space="0" w:color="auto"/>
      </w:divBdr>
    </w:div>
    <w:div w:id="1377194547">
      <w:bodyDiv w:val="1"/>
      <w:marLeft w:val="0"/>
      <w:marRight w:val="0"/>
      <w:marTop w:val="0"/>
      <w:marBottom w:val="0"/>
      <w:divBdr>
        <w:top w:val="none" w:sz="0" w:space="0" w:color="auto"/>
        <w:left w:val="none" w:sz="0" w:space="0" w:color="auto"/>
        <w:bottom w:val="none" w:sz="0" w:space="0" w:color="auto"/>
        <w:right w:val="none" w:sz="0" w:space="0" w:color="auto"/>
      </w:divBdr>
    </w:div>
    <w:div w:id="1468282152">
      <w:bodyDiv w:val="1"/>
      <w:marLeft w:val="0"/>
      <w:marRight w:val="0"/>
      <w:marTop w:val="0"/>
      <w:marBottom w:val="0"/>
      <w:divBdr>
        <w:top w:val="none" w:sz="0" w:space="0" w:color="auto"/>
        <w:left w:val="none" w:sz="0" w:space="0" w:color="auto"/>
        <w:bottom w:val="none" w:sz="0" w:space="0" w:color="auto"/>
        <w:right w:val="none" w:sz="0" w:space="0" w:color="auto"/>
      </w:divBdr>
    </w:div>
    <w:div w:id="1510174561">
      <w:bodyDiv w:val="1"/>
      <w:marLeft w:val="0"/>
      <w:marRight w:val="0"/>
      <w:marTop w:val="0"/>
      <w:marBottom w:val="0"/>
      <w:divBdr>
        <w:top w:val="none" w:sz="0" w:space="0" w:color="auto"/>
        <w:left w:val="none" w:sz="0" w:space="0" w:color="auto"/>
        <w:bottom w:val="none" w:sz="0" w:space="0" w:color="auto"/>
        <w:right w:val="none" w:sz="0" w:space="0" w:color="auto"/>
      </w:divBdr>
    </w:div>
    <w:div w:id="1667324376">
      <w:bodyDiv w:val="1"/>
      <w:marLeft w:val="0"/>
      <w:marRight w:val="0"/>
      <w:marTop w:val="0"/>
      <w:marBottom w:val="0"/>
      <w:divBdr>
        <w:top w:val="none" w:sz="0" w:space="0" w:color="auto"/>
        <w:left w:val="none" w:sz="0" w:space="0" w:color="auto"/>
        <w:bottom w:val="none" w:sz="0" w:space="0" w:color="auto"/>
        <w:right w:val="none" w:sz="0" w:space="0" w:color="auto"/>
      </w:divBdr>
    </w:div>
    <w:div w:id="21304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umpkeyn\Desktop\&#967;&#949;&#953;&#956;&#949;&#961;&#953;&#957;&#949;&#962;%20&#949;&#954;&#960;&#964;&#969;&#963;&#949;&#953;&#962;%202015\&#948;&#953;&#945;&#947;&#961;&#945;&#956;&#956;&#945;&#964;&#9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mpkeyn\Desktop\&#967;&#949;&#953;&#956;&#949;&#961;&#953;&#957;&#949;&#962;%20&#949;&#954;&#960;&#964;&#969;&#963;&#949;&#953;&#962;%202015\&#948;&#953;&#945;&#947;&#961;&#945;&#956;&#956;&#945;&#964;&#9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mpkeyn\Desktop\&#967;&#949;&#953;&#956;&#949;&#961;&#953;&#957;&#949;&#962;%20&#949;&#954;&#960;&#964;&#969;&#963;&#949;&#953;&#962;%202015\&#948;&#953;&#945;&#947;&#961;&#945;&#956;&#956;&#945;&#964;&#9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mpkeyn\Desktop\&#967;&#949;&#953;&#956;&#949;&#961;&#953;&#957;&#949;&#962;%20&#949;&#954;&#960;&#964;&#969;&#963;&#949;&#953;&#962;%202015\&#948;&#953;&#945;&#947;&#961;&#945;&#956;&#956;&#945;&#964;&#9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mpkeyn\Desktop\&#967;&#949;&#953;&#956;&#949;&#961;&#953;&#957;&#949;&#962;%20&#949;&#954;&#960;&#964;&#969;&#963;&#949;&#953;&#962;%202015\&#948;&#953;&#945;&#947;&#961;&#945;&#956;&#956;&#945;&#964;&#9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mpkeyn\Desktop\&#967;&#949;&#953;&#956;&#949;&#961;&#953;&#957;&#949;&#962;%20&#949;&#954;&#960;&#964;&#969;&#963;&#949;&#953;&#962;%202015\&#948;&#953;&#945;&#947;&#961;&#945;&#956;&#956;&#945;&#964;&#9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b="1" i="0" u="none" strike="noStrike" baseline="0"/>
              <a:t>Ποσοστό εκπτώσης τη χειμερινή εκπτωτική περίοδο του 2015</a:t>
            </a:r>
            <a:endParaRPr lang="el-GR" sz="1400"/>
          </a:p>
        </c:rich>
      </c:tx>
      <c:layout/>
    </c:title>
    <c:view3D>
      <c:rotX val="30"/>
      <c:perspective val="30"/>
    </c:view3D>
    <c:plotArea>
      <c:layout/>
      <c:pie3DChart>
        <c:varyColors val="1"/>
        <c:ser>
          <c:idx val="0"/>
          <c:order val="0"/>
          <c:explosion val="25"/>
          <c:dLbls>
            <c:numFmt formatCode="0%" sourceLinked="0"/>
            <c:showVal val="1"/>
            <c:showLeaderLines val="1"/>
          </c:dLbls>
          <c:cat>
            <c:strRef>
              <c:f>Φύλλο1!$B$15:$B$20</c:f>
              <c:strCache>
                <c:ptCount val="6"/>
                <c:pt idx="0">
                  <c:v>0-10%</c:v>
                </c:pt>
                <c:pt idx="1">
                  <c:v>11%-20%</c:v>
                </c:pt>
                <c:pt idx="2">
                  <c:v>21-40%</c:v>
                </c:pt>
                <c:pt idx="3">
                  <c:v>41%-50%</c:v>
                </c:pt>
                <c:pt idx="4">
                  <c:v> 50% και άνω </c:v>
                </c:pt>
                <c:pt idx="5">
                  <c:v>ΔΑ</c:v>
                </c:pt>
              </c:strCache>
            </c:strRef>
          </c:cat>
          <c:val>
            <c:numRef>
              <c:f>Φύλλο1!$E$15:$E$20</c:f>
              <c:numCache>
                <c:formatCode>####.0</c:formatCode>
                <c:ptCount val="6"/>
                <c:pt idx="0">
                  <c:v>5.617977528089884E-2</c:v>
                </c:pt>
                <c:pt idx="1">
                  <c:v>0.14606741573033738</c:v>
                </c:pt>
                <c:pt idx="2">
                  <c:v>0.4606741573033708</c:v>
                </c:pt>
                <c:pt idx="3">
                  <c:v>0.25842696629213513</c:v>
                </c:pt>
                <c:pt idx="4">
                  <c:v>6.7415730337078802E-2</c:v>
                </c:pt>
                <c:pt idx="5">
                  <c:v>1.123595505617978E-2</c:v>
                </c:pt>
              </c:numCache>
            </c:numRef>
          </c:val>
        </c:ser>
      </c:pie3DChart>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b="1" i="0" baseline="0"/>
              <a:t>Σε τι βαθμό έχει συμβάλλει στην αύξηση της επισκεψιμότητας στο κατάστημα το άνοιγμα των Κυριακών</a:t>
            </a:r>
            <a:endParaRPr lang="en-GB" sz="1400"/>
          </a:p>
        </c:rich>
      </c:tx>
      <c:layout/>
    </c:title>
    <c:view3D>
      <c:rotX val="30"/>
      <c:perspective val="30"/>
    </c:view3D>
    <c:plotArea>
      <c:layout/>
      <c:pie3DChart>
        <c:varyColors val="1"/>
        <c:ser>
          <c:idx val="0"/>
          <c:order val="0"/>
          <c:explosion val="25"/>
          <c:dLbls>
            <c:numFmt formatCode="0%" sourceLinked="0"/>
            <c:showVal val="1"/>
            <c:showLeaderLines val="1"/>
          </c:dLbls>
          <c:cat>
            <c:strRef>
              <c:f>Φύλλο1!$B$167:$B$169</c:f>
              <c:strCache>
                <c:ptCount val="3"/>
                <c:pt idx="0">
                  <c:v>Πολύ</c:v>
                </c:pt>
                <c:pt idx="1">
                  <c:v>Λίγο</c:v>
                </c:pt>
                <c:pt idx="2">
                  <c:v>Καθόλου</c:v>
                </c:pt>
              </c:strCache>
            </c:strRef>
          </c:cat>
          <c:val>
            <c:numRef>
              <c:f>Φύλλο1!$E$167:$E$169</c:f>
              <c:numCache>
                <c:formatCode>####.0</c:formatCode>
                <c:ptCount val="3"/>
                <c:pt idx="0">
                  <c:v>4.0000000000000029E-2</c:v>
                </c:pt>
                <c:pt idx="1">
                  <c:v>0.28000000000000008</c:v>
                </c:pt>
                <c:pt idx="2">
                  <c:v>0.68000000000000027</c:v>
                </c:pt>
              </c:numCache>
            </c:numRef>
          </c:val>
        </c:ser>
      </c:pie3D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a:t>Ποσοστό εκπτώσης</a:t>
            </a:r>
            <a:r>
              <a:rPr lang="el-GR" sz="1400" baseline="0"/>
              <a:t> ανά κλάδο δραστηριοποίησης</a:t>
            </a:r>
            <a:endParaRPr lang="el-GR" sz="1400"/>
          </a:p>
        </c:rich>
      </c:tx>
      <c:layout/>
    </c:title>
    <c:plotArea>
      <c:layout/>
      <c:barChart>
        <c:barDir val="bar"/>
        <c:grouping val="percentStacked"/>
        <c:ser>
          <c:idx val="0"/>
          <c:order val="0"/>
          <c:tx>
            <c:strRef>
              <c:f>Φύλλο1!$B$30</c:f>
              <c:strCache>
                <c:ptCount val="1"/>
                <c:pt idx="0">
                  <c:v>0-10%</c:v>
                </c:pt>
              </c:strCache>
            </c:strRef>
          </c:tx>
          <c:dLbls>
            <c:txPr>
              <a:bodyPr/>
              <a:lstStyle/>
              <a:p>
                <a:pPr>
                  <a:defRPr sz="800"/>
                </a:pPr>
                <a:endParaRPr lang="el-GR"/>
              </a:p>
            </c:txPr>
            <c:showVal val="1"/>
          </c:dLbls>
          <c:cat>
            <c:strRef>
              <c:f>Φύλλο1!$C$29:$E$29</c:f>
              <c:strCache>
                <c:ptCount val="3"/>
                <c:pt idx="0">
                  <c:v>Ένδυση - Υπόδηση</c:v>
                </c:pt>
                <c:pt idx="1">
                  <c:v>Είδη οικιακού εξοπλισμού</c:v>
                </c:pt>
                <c:pt idx="2">
                  <c:v>Είδη ψυχαγωγίας και επιμορφωτικών ειδών</c:v>
                </c:pt>
              </c:strCache>
            </c:strRef>
          </c:cat>
          <c:val>
            <c:numRef>
              <c:f>Φύλλο1!$C$30:$E$30</c:f>
              <c:numCache>
                <c:formatCode>####%</c:formatCode>
                <c:ptCount val="3"/>
                <c:pt idx="1">
                  <c:v>0.12903225806451613</c:v>
                </c:pt>
                <c:pt idx="2">
                  <c:v>0.16666666666666669</c:v>
                </c:pt>
              </c:numCache>
            </c:numRef>
          </c:val>
        </c:ser>
        <c:ser>
          <c:idx val="1"/>
          <c:order val="1"/>
          <c:tx>
            <c:strRef>
              <c:f>Φύλλο1!$B$31</c:f>
              <c:strCache>
                <c:ptCount val="1"/>
                <c:pt idx="0">
                  <c:v>11%-20%</c:v>
                </c:pt>
              </c:strCache>
            </c:strRef>
          </c:tx>
          <c:dLbls>
            <c:txPr>
              <a:bodyPr/>
              <a:lstStyle/>
              <a:p>
                <a:pPr>
                  <a:defRPr sz="800"/>
                </a:pPr>
                <a:endParaRPr lang="el-GR"/>
              </a:p>
            </c:txPr>
            <c:showVal val="1"/>
          </c:dLbls>
          <c:cat>
            <c:strRef>
              <c:f>Φύλλο1!$C$29:$E$29</c:f>
              <c:strCache>
                <c:ptCount val="3"/>
                <c:pt idx="0">
                  <c:v>Ένδυση - Υπόδηση</c:v>
                </c:pt>
                <c:pt idx="1">
                  <c:v>Είδη οικιακού εξοπλισμού</c:v>
                </c:pt>
                <c:pt idx="2">
                  <c:v>Είδη ψυχαγωγίας και επιμορφωτικών ειδών</c:v>
                </c:pt>
              </c:strCache>
            </c:strRef>
          </c:cat>
          <c:val>
            <c:numRef>
              <c:f>Φύλλο1!$C$31:$E$31</c:f>
              <c:numCache>
                <c:formatCode>####%</c:formatCode>
                <c:ptCount val="3"/>
                <c:pt idx="0">
                  <c:v>7.8431372549019607E-2</c:v>
                </c:pt>
                <c:pt idx="1">
                  <c:v>0.19354838709677447</c:v>
                </c:pt>
                <c:pt idx="2">
                  <c:v>0.33333333333333337</c:v>
                </c:pt>
              </c:numCache>
            </c:numRef>
          </c:val>
        </c:ser>
        <c:ser>
          <c:idx val="2"/>
          <c:order val="2"/>
          <c:tx>
            <c:strRef>
              <c:f>Φύλλο1!$B$32</c:f>
              <c:strCache>
                <c:ptCount val="1"/>
                <c:pt idx="0">
                  <c:v>21-40%</c:v>
                </c:pt>
              </c:strCache>
            </c:strRef>
          </c:tx>
          <c:dLbls>
            <c:txPr>
              <a:bodyPr/>
              <a:lstStyle/>
              <a:p>
                <a:pPr>
                  <a:defRPr sz="800"/>
                </a:pPr>
                <a:endParaRPr lang="el-GR"/>
              </a:p>
            </c:txPr>
            <c:showVal val="1"/>
          </c:dLbls>
          <c:cat>
            <c:strRef>
              <c:f>Φύλλο1!$C$29:$E$29</c:f>
              <c:strCache>
                <c:ptCount val="3"/>
                <c:pt idx="0">
                  <c:v>Ένδυση - Υπόδηση</c:v>
                </c:pt>
                <c:pt idx="1">
                  <c:v>Είδη οικιακού εξοπλισμού</c:v>
                </c:pt>
                <c:pt idx="2">
                  <c:v>Είδη ψυχαγωγίας και επιμορφωτικών ειδών</c:v>
                </c:pt>
              </c:strCache>
            </c:strRef>
          </c:cat>
          <c:val>
            <c:numRef>
              <c:f>Φύλλο1!$C$32:$E$32</c:f>
              <c:numCache>
                <c:formatCode>####%</c:formatCode>
                <c:ptCount val="3"/>
                <c:pt idx="0">
                  <c:v>0.47058823529411814</c:v>
                </c:pt>
                <c:pt idx="1">
                  <c:v>0.48387096774193616</c:v>
                </c:pt>
                <c:pt idx="2">
                  <c:v>0.33333333333333337</c:v>
                </c:pt>
              </c:numCache>
            </c:numRef>
          </c:val>
        </c:ser>
        <c:ser>
          <c:idx val="3"/>
          <c:order val="3"/>
          <c:tx>
            <c:strRef>
              <c:f>Φύλλο1!$B$33</c:f>
              <c:strCache>
                <c:ptCount val="1"/>
                <c:pt idx="0">
                  <c:v>41%-50%</c:v>
                </c:pt>
              </c:strCache>
            </c:strRef>
          </c:tx>
          <c:dLbls>
            <c:txPr>
              <a:bodyPr/>
              <a:lstStyle/>
              <a:p>
                <a:pPr>
                  <a:defRPr sz="800"/>
                </a:pPr>
                <a:endParaRPr lang="el-GR"/>
              </a:p>
            </c:txPr>
            <c:showVal val="1"/>
          </c:dLbls>
          <c:cat>
            <c:strRef>
              <c:f>Φύλλο1!$C$29:$E$29</c:f>
              <c:strCache>
                <c:ptCount val="3"/>
                <c:pt idx="0">
                  <c:v>Ένδυση - Υπόδηση</c:v>
                </c:pt>
                <c:pt idx="1">
                  <c:v>Είδη οικιακού εξοπλισμού</c:v>
                </c:pt>
                <c:pt idx="2">
                  <c:v>Είδη ψυχαγωγίας και επιμορφωτικών ειδών</c:v>
                </c:pt>
              </c:strCache>
            </c:strRef>
          </c:cat>
          <c:val>
            <c:numRef>
              <c:f>Φύλλο1!$C$33:$E$33</c:f>
              <c:numCache>
                <c:formatCode>####%</c:formatCode>
                <c:ptCount val="3"/>
                <c:pt idx="0">
                  <c:v>0.35294117647058826</c:v>
                </c:pt>
                <c:pt idx="1">
                  <c:v>0.12903225806451613</c:v>
                </c:pt>
                <c:pt idx="2">
                  <c:v>0.16666666666666669</c:v>
                </c:pt>
              </c:numCache>
            </c:numRef>
          </c:val>
        </c:ser>
        <c:ser>
          <c:idx val="4"/>
          <c:order val="4"/>
          <c:tx>
            <c:strRef>
              <c:f>Φύλλο1!$B$34</c:f>
              <c:strCache>
                <c:ptCount val="1"/>
                <c:pt idx="0">
                  <c:v> 50% και άνω </c:v>
                </c:pt>
              </c:strCache>
            </c:strRef>
          </c:tx>
          <c:dLbls>
            <c:txPr>
              <a:bodyPr/>
              <a:lstStyle/>
              <a:p>
                <a:pPr>
                  <a:defRPr sz="800"/>
                </a:pPr>
                <a:endParaRPr lang="el-GR"/>
              </a:p>
            </c:txPr>
            <c:showVal val="1"/>
          </c:dLbls>
          <c:cat>
            <c:strRef>
              <c:f>Φύλλο1!$C$29:$E$29</c:f>
              <c:strCache>
                <c:ptCount val="3"/>
                <c:pt idx="0">
                  <c:v>Ένδυση - Υπόδηση</c:v>
                </c:pt>
                <c:pt idx="1">
                  <c:v>Είδη οικιακού εξοπλισμού</c:v>
                </c:pt>
                <c:pt idx="2">
                  <c:v>Είδη ψυχαγωγίας και επιμορφωτικών ειδών</c:v>
                </c:pt>
              </c:strCache>
            </c:strRef>
          </c:cat>
          <c:val>
            <c:numRef>
              <c:f>Φύλλο1!$C$34:$E$34</c:f>
              <c:numCache>
                <c:formatCode>####%</c:formatCode>
                <c:ptCount val="3"/>
                <c:pt idx="0">
                  <c:v>7.8431372549019607E-2</c:v>
                </c:pt>
                <c:pt idx="1">
                  <c:v>6.4516129032258132E-2</c:v>
                </c:pt>
              </c:numCache>
            </c:numRef>
          </c:val>
        </c:ser>
        <c:ser>
          <c:idx val="5"/>
          <c:order val="5"/>
          <c:tx>
            <c:strRef>
              <c:f>Φύλλο1!$B$35</c:f>
              <c:strCache>
                <c:ptCount val="1"/>
                <c:pt idx="0">
                  <c:v>ΔΑ</c:v>
                </c:pt>
              </c:strCache>
            </c:strRef>
          </c:tx>
          <c:dLbls>
            <c:dLbl>
              <c:idx val="0"/>
              <c:layout>
                <c:manualLayout>
                  <c:x val="9.6315916205152903E-3"/>
                  <c:y val="0"/>
                </c:manualLayout>
              </c:layout>
              <c:showVal val="1"/>
            </c:dLbl>
            <c:txPr>
              <a:bodyPr/>
              <a:lstStyle/>
              <a:p>
                <a:pPr>
                  <a:defRPr sz="800"/>
                </a:pPr>
                <a:endParaRPr lang="el-GR"/>
              </a:p>
            </c:txPr>
            <c:showVal val="1"/>
          </c:dLbls>
          <c:cat>
            <c:strRef>
              <c:f>Φύλλο1!$C$29:$E$29</c:f>
              <c:strCache>
                <c:ptCount val="3"/>
                <c:pt idx="0">
                  <c:v>Ένδυση - Υπόδηση</c:v>
                </c:pt>
                <c:pt idx="1">
                  <c:v>Είδη οικιακού εξοπλισμού</c:v>
                </c:pt>
                <c:pt idx="2">
                  <c:v>Είδη ψυχαγωγίας και επιμορφωτικών ειδών</c:v>
                </c:pt>
              </c:strCache>
            </c:strRef>
          </c:cat>
          <c:val>
            <c:numRef>
              <c:f>Φύλλο1!$C$35:$E$35</c:f>
              <c:numCache>
                <c:formatCode>General</c:formatCode>
                <c:ptCount val="3"/>
                <c:pt idx="0" formatCode="####%">
                  <c:v>1.9607843137254902E-2</c:v>
                </c:pt>
              </c:numCache>
            </c:numRef>
          </c:val>
        </c:ser>
        <c:overlap val="100"/>
        <c:axId val="33065984"/>
        <c:axId val="33092352"/>
      </c:barChart>
      <c:catAx>
        <c:axId val="33065984"/>
        <c:scaling>
          <c:orientation val="minMax"/>
        </c:scaling>
        <c:axPos val="l"/>
        <c:tickLblPos val="nextTo"/>
        <c:crossAx val="33092352"/>
        <c:crosses val="autoZero"/>
        <c:auto val="1"/>
        <c:lblAlgn val="ctr"/>
        <c:lblOffset val="100"/>
      </c:catAx>
      <c:valAx>
        <c:axId val="33092352"/>
        <c:scaling>
          <c:orientation val="minMax"/>
        </c:scaling>
        <c:axPos val="b"/>
        <c:majorGridlines/>
        <c:numFmt formatCode="0%" sourceLinked="1"/>
        <c:tickLblPos val="nextTo"/>
        <c:crossAx val="3306598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b="1" i="0" u="none" strike="noStrike" baseline="0"/>
              <a:t>Πωλήσεις χειμερινής εκπτωτικής περιόδου 2015 σε σύγκριση με το 2014</a:t>
            </a:r>
            <a:endParaRPr lang="el-GR" sz="1400"/>
          </a:p>
        </c:rich>
      </c:tx>
      <c:layout/>
    </c:title>
    <c:view3D>
      <c:rotX val="30"/>
      <c:perspective val="30"/>
    </c:view3D>
    <c:plotArea>
      <c:layout>
        <c:manualLayout>
          <c:layoutTarget val="inner"/>
          <c:xMode val="edge"/>
          <c:yMode val="edge"/>
          <c:x val="6.4285447286890673E-2"/>
          <c:y val="0.30967511143070925"/>
          <c:w val="0.52799126667146135"/>
          <c:h val="0.59870242541930252"/>
        </c:manualLayout>
      </c:layout>
      <c:pie3DChart>
        <c:varyColors val="1"/>
        <c:ser>
          <c:idx val="0"/>
          <c:order val="0"/>
          <c:explosion val="25"/>
          <c:dLbls>
            <c:numFmt formatCode="0%" sourceLinked="0"/>
            <c:showVal val="1"/>
            <c:showLeaderLines val="1"/>
          </c:dLbls>
          <c:cat>
            <c:strRef>
              <c:f>Φύλλο1!$B$3:$B$5</c:f>
              <c:strCache>
                <c:ptCount val="3"/>
                <c:pt idx="0">
                  <c:v>Καλύτερα από το 2014</c:v>
                </c:pt>
                <c:pt idx="1">
                  <c:v>Χειρότερα από το 2014</c:v>
                </c:pt>
                <c:pt idx="2">
                  <c:v>Στα ίδια επίπεδα</c:v>
                </c:pt>
              </c:strCache>
            </c:strRef>
          </c:cat>
          <c:val>
            <c:numRef>
              <c:f>Φύλλο1!$E$3:$E$5</c:f>
              <c:numCache>
                <c:formatCode>####</c:formatCode>
                <c:ptCount val="3"/>
                <c:pt idx="0">
                  <c:v>7.8651685393258425E-2</c:v>
                </c:pt>
                <c:pt idx="1">
                  <c:v>0.6966292134831481</c:v>
                </c:pt>
                <c:pt idx="2">
                  <c:v>0.22471910112359572</c:v>
                </c:pt>
              </c:numCache>
            </c:numRef>
          </c:val>
        </c:ser>
      </c:pie3D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a:t>Ποσοστό</a:t>
            </a:r>
            <a:r>
              <a:rPr lang="el-GR" sz="1400" baseline="0"/>
              <a:t> μείωσης των πωλήσεων τη χειμερινή εκπτωτική περίοδο του 2015 σε σύγκριση με το 2014</a:t>
            </a:r>
            <a:endParaRPr lang="el-GR" sz="1400"/>
          </a:p>
        </c:rich>
      </c:tx>
      <c:layout/>
    </c:title>
    <c:view3D>
      <c:rotX val="30"/>
      <c:perspective val="30"/>
    </c:view3D>
    <c:plotArea>
      <c:layout/>
      <c:pie3DChart>
        <c:varyColors val="1"/>
        <c:ser>
          <c:idx val="0"/>
          <c:order val="0"/>
          <c:explosion val="25"/>
          <c:dLbls>
            <c:numFmt formatCode="0%" sourceLinked="0"/>
            <c:showVal val="1"/>
            <c:showLeaderLines val="1"/>
          </c:dLbls>
          <c:cat>
            <c:strRef>
              <c:f>Φύλλο1!$B$63:$B$67</c:f>
              <c:strCache>
                <c:ptCount val="5"/>
                <c:pt idx="0">
                  <c:v>1 – 10%</c:v>
                </c:pt>
                <c:pt idx="1">
                  <c:v>11% - 20% </c:v>
                </c:pt>
                <c:pt idx="2">
                  <c:v>21% - 30%</c:v>
                </c:pt>
                <c:pt idx="3">
                  <c:v>31%- 40%</c:v>
                </c:pt>
                <c:pt idx="4">
                  <c:v>μεγαλύτερη από 41% </c:v>
                </c:pt>
              </c:strCache>
            </c:strRef>
          </c:cat>
          <c:val>
            <c:numRef>
              <c:f>Φύλλο1!$E$63:$E$67</c:f>
              <c:numCache>
                <c:formatCode>####.000</c:formatCode>
                <c:ptCount val="5"/>
                <c:pt idx="0">
                  <c:v>0.1</c:v>
                </c:pt>
                <c:pt idx="1">
                  <c:v>0.23333333333333348</c:v>
                </c:pt>
                <c:pt idx="2">
                  <c:v>0.23333333333333348</c:v>
                </c:pt>
                <c:pt idx="3">
                  <c:v>0.2</c:v>
                </c:pt>
                <c:pt idx="4">
                  <c:v>0.23333333333333348</c:v>
                </c:pt>
              </c:numCache>
            </c:numRef>
          </c:val>
        </c:ser>
      </c:pie3D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b="1" i="0" baseline="0"/>
              <a:t>Ποσοστό αύξησης των πωλήσεων τη χειμερινή εκπτωτική περίοδο του 2015 σε σύγκριση με το 2014</a:t>
            </a:r>
          </a:p>
        </c:rich>
      </c:tx>
      <c:layout/>
    </c:title>
    <c:view3D>
      <c:rotX val="30"/>
      <c:perspective val="30"/>
    </c:view3D>
    <c:plotArea>
      <c:layout/>
      <c:pie3DChart>
        <c:varyColors val="1"/>
        <c:ser>
          <c:idx val="0"/>
          <c:order val="0"/>
          <c:explosion val="25"/>
          <c:dLbls>
            <c:numFmt formatCode="0%" sourceLinked="0"/>
            <c:showVal val="1"/>
            <c:showLeaderLines val="1"/>
          </c:dLbls>
          <c:cat>
            <c:strRef>
              <c:f>Φύλλο1!$B$85:$B$86</c:f>
              <c:strCache>
                <c:ptCount val="2"/>
                <c:pt idx="0">
                  <c:v>0 – 10%</c:v>
                </c:pt>
                <c:pt idx="1">
                  <c:v>11% - 20% </c:v>
                </c:pt>
              </c:strCache>
            </c:strRef>
          </c:cat>
          <c:val>
            <c:numRef>
              <c:f>Φύλλο1!$E$85:$E$86</c:f>
              <c:numCache>
                <c:formatCode>####.0</c:formatCode>
                <c:ptCount val="2"/>
                <c:pt idx="0">
                  <c:v>0.71428571428571463</c:v>
                </c:pt>
                <c:pt idx="1">
                  <c:v>0.28571428571428603</c:v>
                </c:pt>
              </c:numCache>
            </c:numRef>
          </c:val>
        </c:ser>
      </c:pie3D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a:t>Καλύτερη</a:t>
            </a:r>
            <a:r>
              <a:rPr lang="el-GR" sz="1400" baseline="0"/>
              <a:t> περίοδος των χειμερινών εκπτώσεων από άποψη αγοραστικής κίνησης</a:t>
            </a:r>
            <a:endParaRPr lang="el-GR" sz="1400"/>
          </a:p>
        </c:rich>
      </c:tx>
      <c:layout/>
    </c:title>
    <c:view3D>
      <c:rotX val="30"/>
      <c:perspective val="30"/>
    </c:view3D>
    <c:plotArea>
      <c:layout/>
      <c:pie3DChart>
        <c:varyColors val="1"/>
        <c:ser>
          <c:idx val="0"/>
          <c:order val="0"/>
          <c:explosion val="25"/>
          <c:dLbls>
            <c:numFmt formatCode="0%" sourceLinked="0"/>
            <c:showVal val="1"/>
            <c:showLeaderLines val="1"/>
          </c:dLbls>
          <c:cat>
            <c:strRef>
              <c:f>Φύλλο1!$B$101:$B$103</c:f>
              <c:strCache>
                <c:ptCount val="3"/>
                <c:pt idx="0">
                  <c:v>12/1 έως 31/1</c:v>
                </c:pt>
                <c:pt idx="1">
                  <c:v>1/2 έως 15/2</c:v>
                </c:pt>
                <c:pt idx="2">
                  <c:v>16/2 έως 28/2</c:v>
                </c:pt>
              </c:strCache>
            </c:strRef>
          </c:cat>
          <c:val>
            <c:numRef>
              <c:f>Φύλλο1!$E$101:$E$103</c:f>
              <c:numCache>
                <c:formatCode>####.0</c:formatCode>
                <c:ptCount val="3"/>
                <c:pt idx="0">
                  <c:v>0.54545454545454541</c:v>
                </c:pt>
                <c:pt idx="1">
                  <c:v>0.30303030303030326</c:v>
                </c:pt>
                <c:pt idx="2">
                  <c:v>0.15151515151515174</c:v>
                </c:pt>
              </c:numCache>
            </c:numRef>
          </c:val>
        </c:ser>
      </c:pie3DChart>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a:t>Εάν το άνοιγμα την Κυριακή 18 Ιανουρίου, συνέβαλε θετικά στον συνολικό τζίρο της εκπτωτικής περιόδου</a:t>
            </a:r>
          </a:p>
        </c:rich>
      </c:tx>
      <c:layout/>
    </c:title>
    <c:view3D>
      <c:rotX val="30"/>
      <c:perspective val="30"/>
    </c:view3D>
    <c:plotArea>
      <c:layout>
        <c:manualLayout>
          <c:layoutTarget val="inner"/>
          <c:xMode val="edge"/>
          <c:yMode val="edge"/>
          <c:x val="8.644701824881984E-2"/>
          <c:y val="0.27237030054534211"/>
          <c:w val="0.72209704405536201"/>
          <c:h val="0.59516225375067877"/>
        </c:manualLayout>
      </c:layout>
      <c:pie3DChart>
        <c:varyColors val="1"/>
        <c:ser>
          <c:idx val="0"/>
          <c:order val="0"/>
          <c:explosion val="25"/>
          <c:dPt>
            <c:idx val="1"/>
            <c:explosion val="0"/>
          </c:dPt>
          <c:dLbls>
            <c:numFmt formatCode="0.0%" sourceLinked="0"/>
            <c:showVal val="1"/>
            <c:showLeaderLines val="1"/>
          </c:dLbls>
          <c:cat>
            <c:strRef>
              <c:f>Φύλλο1!$B$116:$B$117</c:f>
              <c:strCache>
                <c:ptCount val="2"/>
                <c:pt idx="0">
                  <c:v>Ναι</c:v>
                </c:pt>
                <c:pt idx="1">
                  <c:v>Όχι</c:v>
                </c:pt>
              </c:strCache>
            </c:strRef>
          </c:cat>
          <c:val>
            <c:numRef>
              <c:f>Φύλλο1!$E$116:$E$117</c:f>
              <c:numCache>
                <c:formatCode>####.0</c:formatCode>
                <c:ptCount val="2"/>
                <c:pt idx="0">
                  <c:v>7.6923076923076927E-2</c:v>
                </c:pt>
                <c:pt idx="1">
                  <c:v>0.92307692307692257</c:v>
                </c:pt>
              </c:numCache>
            </c:numRef>
          </c:val>
        </c:ser>
      </c:pie3DChart>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a:t>Πώς καλύπτουν την ανάγκη απασχόλησης προσωπικού για την λειτουργία του καταστήματος την Κυριακή</a:t>
            </a:r>
          </a:p>
        </c:rich>
      </c:tx>
      <c:layout>
        <c:manualLayout>
          <c:xMode val="edge"/>
          <c:yMode val="edge"/>
          <c:x val="0.15023108826253501"/>
          <c:y val="5.0838896377446603E-2"/>
        </c:manualLayout>
      </c:layout>
    </c:title>
    <c:view3D>
      <c:rotX val="30"/>
      <c:perspective val="30"/>
    </c:view3D>
    <c:plotArea>
      <c:layout/>
      <c:pie3DChart>
        <c:varyColors val="1"/>
        <c:ser>
          <c:idx val="0"/>
          <c:order val="0"/>
          <c:explosion val="25"/>
          <c:dLbls>
            <c:numFmt formatCode="0%" sourceLinked="0"/>
            <c:showVal val="1"/>
            <c:showLeaderLines val="1"/>
          </c:dLbls>
          <c:cat>
            <c:strRef>
              <c:f>Φύλλο1!$B$131:$B$133</c:f>
              <c:strCache>
                <c:ptCount val="3"/>
                <c:pt idx="0">
                  <c:v>Έχω προσλάβει επιπλέον υπάλληλο</c:v>
                </c:pt>
                <c:pt idx="1">
                  <c:v>Έχει επεκταθεί το ωράριο εργασίας των ήδη υπαρχόντων υπαλλήλων</c:v>
                </c:pt>
                <c:pt idx="2">
                  <c:v>Έχω επωμιστεί προσωπικά την κάλυψη της ανάγκης</c:v>
                </c:pt>
              </c:strCache>
            </c:strRef>
          </c:cat>
          <c:val>
            <c:numRef>
              <c:f>Φύλλο1!$E$131:$E$133</c:f>
              <c:numCache>
                <c:formatCode>####.000</c:formatCode>
                <c:ptCount val="3"/>
                <c:pt idx="0">
                  <c:v>3.8461538461538464E-2</c:v>
                </c:pt>
                <c:pt idx="1">
                  <c:v>0.34615384615384631</c:v>
                </c:pt>
                <c:pt idx="2">
                  <c:v>0.61538461538461564</c:v>
                </c:pt>
              </c:numCache>
            </c:numRef>
          </c:val>
        </c:ser>
      </c:pie3DChart>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1400"/>
              <a:t>Σε τι βαθμό έχει επιβαρύνει το λειτουργικό κόστος του καταστήματος το άνοιγμα των Κυριακών</a:t>
            </a:r>
          </a:p>
        </c:rich>
      </c:tx>
      <c:layout/>
    </c:title>
    <c:view3D>
      <c:rotX val="30"/>
      <c:perspective val="30"/>
    </c:view3D>
    <c:plotArea>
      <c:layout/>
      <c:pie3DChart>
        <c:varyColors val="1"/>
        <c:ser>
          <c:idx val="0"/>
          <c:order val="0"/>
          <c:explosion val="25"/>
          <c:dLbls>
            <c:numFmt formatCode="0%" sourceLinked="0"/>
            <c:showVal val="1"/>
            <c:showLeaderLines val="1"/>
          </c:dLbls>
          <c:cat>
            <c:strRef>
              <c:f>Φύλλο1!$B$147:$B$150</c:f>
              <c:strCache>
                <c:ptCount val="4"/>
                <c:pt idx="0">
                  <c:v>Πάρα πολύ</c:v>
                </c:pt>
                <c:pt idx="1">
                  <c:v>Πολύ</c:v>
                </c:pt>
                <c:pt idx="2">
                  <c:v>Λίγο</c:v>
                </c:pt>
                <c:pt idx="3">
                  <c:v>Καθόλου</c:v>
                </c:pt>
              </c:strCache>
            </c:strRef>
          </c:cat>
          <c:val>
            <c:numRef>
              <c:f>Φύλλο1!$E$147:$E$150</c:f>
              <c:numCache>
                <c:formatCode>####.0</c:formatCode>
                <c:ptCount val="4"/>
                <c:pt idx="0">
                  <c:v>8.0000000000000043E-2</c:v>
                </c:pt>
                <c:pt idx="1">
                  <c:v>0.36000000000000021</c:v>
                </c:pt>
                <c:pt idx="2">
                  <c:v>0.44</c:v>
                </c:pt>
                <c:pt idx="3">
                  <c:v>0.12000000000000002</c:v>
                </c:pt>
              </c:numCache>
            </c:numRef>
          </c:val>
        </c:ser>
      </c:pie3DChart>
    </c:plotArea>
    <c:legend>
      <c:legendPos val="r"/>
      <c:layout/>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2007</Words>
  <Characters>10840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kfilippou</dc:creator>
  <cp:lastModifiedBy>kfilippou</cp:lastModifiedBy>
  <cp:revision>17</cp:revision>
  <cp:lastPrinted>2014-11-28T10:07:00Z</cp:lastPrinted>
  <dcterms:created xsi:type="dcterms:W3CDTF">2015-02-27T07:10:00Z</dcterms:created>
  <dcterms:modified xsi:type="dcterms:W3CDTF">2015-02-27T07:38:00Z</dcterms:modified>
</cp:coreProperties>
</file>