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FD0" w:rsidRPr="00DC754C" w:rsidRDefault="00A97FD0" w:rsidP="00A8723F">
      <w:bookmarkStart w:id="0" w:name="_GoBack"/>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4" o:spid="_x0000_s1038" type="#_x0000_t75" style="position:absolute;margin-left:336.6pt;margin-top:16.75pt;width:189.8pt;height:32.25pt;z-index:251658752;visibility:visible">
            <v:imagedata r:id="rId7" o:title=""/>
            <w10:wrap type="square"/>
          </v:shape>
        </w:pict>
      </w:r>
      <w:bookmarkEnd w:id="0"/>
    </w:p>
    <w:p w:rsidR="00A97FD0" w:rsidRPr="00DC754C" w:rsidRDefault="00A97FD0" w:rsidP="00DC754C">
      <w:pPr>
        <w:spacing w:after="0" w:line="240" w:lineRule="auto"/>
        <w:rPr>
          <w:sz w:val="16"/>
          <w:szCs w:val="16"/>
        </w:rPr>
      </w:pPr>
    </w:p>
    <w:p w:rsidR="00A97FD0" w:rsidRPr="00DC754C" w:rsidRDefault="00A97FD0" w:rsidP="00DC754C">
      <w:pPr>
        <w:spacing w:after="0" w:line="240" w:lineRule="auto"/>
        <w:rPr>
          <w:sz w:val="16"/>
          <w:szCs w:val="16"/>
        </w:rPr>
      </w:pPr>
    </w:p>
    <w:p w:rsidR="00A97FD0" w:rsidRPr="007723B8" w:rsidRDefault="00A97FD0" w:rsidP="00DC754C">
      <w:pPr>
        <w:spacing w:after="0" w:line="240" w:lineRule="auto"/>
        <w:rPr>
          <w:sz w:val="16"/>
          <w:szCs w:val="16"/>
          <w:lang w:val="en-US"/>
        </w:rPr>
      </w:pPr>
      <w:r>
        <w:rPr>
          <w:sz w:val="16"/>
          <w:szCs w:val="16"/>
          <w:lang w:val="en-US"/>
        </w:rPr>
        <w:br/>
      </w:r>
    </w:p>
    <w:p w:rsidR="00A97FD0" w:rsidRPr="00940A63" w:rsidRDefault="00A97FD0" w:rsidP="005F6658">
      <w:pPr>
        <w:shd w:val="clear" w:color="auto" w:fill="D9D9D9"/>
        <w:tabs>
          <w:tab w:val="left" w:pos="1913"/>
          <w:tab w:val="left" w:pos="7938"/>
        </w:tabs>
        <w:spacing w:after="0" w:line="216" w:lineRule="auto"/>
        <w:ind w:right="-24"/>
        <w:rPr>
          <w:b/>
          <w:color w:val="1F497D"/>
          <w:sz w:val="28"/>
          <w:szCs w:val="28"/>
        </w:rPr>
      </w:pPr>
      <w:r>
        <w:rPr>
          <w:b/>
          <w:color w:val="1F497D"/>
          <w:sz w:val="28"/>
          <w:szCs w:val="28"/>
        </w:rPr>
        <w:t xml:space="preserve">Η μεσαία τάξη τρώει τις σάρκες της                                                                   </w:t>
      </w:r>
      <w:r w:rsidRPr="00940A63">
        <w:rPr>
          <w:b/>
          <w:color w:val="1F497D"/>
          <w:sz w:val="28"/>
          <w:szCs w:val="28"/>
        </w:rPr>
        <w:t>17</w:t>
      </w:r>
      <w:r>
        <w:rPr>
          <w:b/>
          <w:color w:val="1F497D"/>
          <w:sz w:val="28"/>
          <w:szCs w:val="28"/>
        </w:rPr>
        <w:t>Μαρτίου</w:t>
      </w:r>
      <w:r w:rsidRPr="00940A63">
        <w:rPr>
          <w:b/>
          <w:color w:val="1F497D"/>
          <w:sz w:val="28"/>
          <w:szCs w:val="28"/>
        </w:rPr>
        <w:t xml:space="preserve"> 2016</w:t>
      </w:r>
    </w:p>
    <w:tbl>
      <w:tblPr>
        <w:tblW w:w="10905" w:type="dxa"/>
        <w:tblInd w:w="-176" w:type="dxa"/>
        <w:tblLayout w:type="fixed"/>
        <w:tblLook w:val="00A0"/>
      </w:tblPr>
      <w:tblGrid>
        <w:gridCol w:w="3663"/>
        <w:gridCol w:w="1963"/>
        <w:gridCol w:w="5279"/>
      </w:tblGrid>
      <w:tr w:rsidR="00A97FD0" w:rsidRPr="00124C09" w:rsidTr="00124C09">
        <w:trPr>
          <w:cantSplit/>
          <w:trHeight w:val="7272"/>
        </w:trPr>
        <w:tc>
          <w:tcPr>
            <w:tcW w:w="10905" w:type="dxa"/>
            <w:gridSpan w:val="3"/>
          </w:tcPr>
          <w:p w:rsidR="00A97FD0" w:rsidRPr="00124C09" w:rsidRDefault="00A97FD0" w:rsidP="00124C09">
            <w:pPr>
              <w:pStyle w:val="ListParagraph"/>
              <w:spacing w:after="120" w:line="240" w:lineRule="auto"/>
              <w:ind w:left="567" w:firstLine="284"/>
              <w:jc w:val="both"/>
              <w:rPr>
                <w:b/>
                <w:bCs/>
                <w:color w:val="000000"/>
                <w:sz w:val="16"/>
                <w:szCs w:val="16"/>
              </w:rPr>
            </w:pPr>
          </w:p>
          <w:p w:rsidR="00A97FD0" w:rsidRPr="00124C09" w:rsidRDefault="00A97FD0" w:rsidP="00124C09">
            <w:pPr>
              <w:pStyle w:val="ListParagraph"/>
              <w:spacing w:after="120" w:line="240" w:lineRule="auto"/>
              <w:ind w:left="567"/>
              <w:jc w:val="both"/>
              <w:rPr>
                <w:b/>
                <w:bCs/>
                <w:color w:val="7030A0"/>
                <w:sz w:val="28"/>
                <w:szCs w:val="28"/>
              </w:rPr>
            </w:pPr>
            <w:r w:rsidRPr="00124C09">
              <w:rPr>
                <w:b/>
                <w:bCs/>
                <w:color w:val="000000"/>
                <w:sz w:val="28"/>
                <w:szCs w:val="28"/>
              </w:rPr>
              <w:t>Επισκόπηση</w:t>
            </w:r>
          </w:p>
          <w:p w:rsidR="00A97FD0" w:rsidRPr="00124C09" w:rsidRDefault="00A97FD0" w:rsidP="00124C09">
            <w:pPr>
              <w:pStyle w:val="ListParagraph"/>
              <w:numPr>
                <w:ilvl w:val="0"/>
                <w:numId w:val="42"/>
              </w:numPr>
              <w:spacing w:after="0" w:line="240" w:lineRule="auto"/>
              <w:jc w:val="both"/>
              <w:rPr>
                <w:b/>
                <w:noProof/>
                <w:color w:val="000000"/>
                <w:sz w:val="16"/>
                <w:szCs w:val="16"/>
              </w:rPr>
            </w:pPr>
            <w:r w:rsidRPr="00124C09">
              <w:rPr>
                <w:b/>
                <w:noProof/>
                <w:color w:val="000000"/>
                <w:sz w:val="16"/>
                <w:szCs w:val="16"/>
              </w:rPr>
              <w:t>Η μεσαία τάξη στην Ελλάδα καταρρέει υπό το βάρος της υπερ-φορολόγησης, της συρρίκνωσης της αποταμίευσης και την περαιτέρω φτωχοποίησή της που είναι βέβαιο ότι θα προκαλέσουν οι προωθούμενες στρεβλωτικές πολιτικές αναδιανομής εισοδήματος με λάθος εργαλεία ανάλυσης και στόχευση. Στην σημερινή Ελλάδα, 4 εργαζόμενοι πληρώνουν φόρους και εισφορές ώστε να πληρώνονται οι συντάξεις 3 συνταξιούχων και να καλύπτονται οι ανάγκες σε παροχή δημοσίων υπηρεσιών υγείας, εκπαίδευσης, δικαιοσύνης, άμυνας κ.λ.π. Το μοντέλο αυτό προφανώς δεν είναι βιώσιμο. Το μέσο ελληνικό νοικοκυριό στην διάρκεια της κρίσης (2009-2014) απώλεσε 4 ποσοστιαίες μονάδες του εισοδήματός του (που μειώθηκε λόγω της ύφεσης κατά 30%) λόγω αύξησης της επιβάρυνσης σε φόρους εισοδήματος, πλούτου κ.λ.π. και σε ασφαλιστικές εισφορές(βλέπε Διάγραμμα κατωτέρω). Αυτή η απώλεια είναι πολλαπλάσια εκείνης των νοικοκυριών σε άλλες ευρωπαϊκές χώρες. Ζούμε μάλιστα το παράδοξο ενώ οι συντελεστές του φορολογικού και συνταξιοδοτικού συστήματος είναι από τους υψηλότερους στην Ευρώπη,η μέση φορολογική επιβάρυνση να εξακολουθεί να είναι από τις μικρότερες στην Ευρώπη, γεγονός που υποδηλώνει την έκταση της φοροδιαφυγής.Με το εισόδημα των νοικοκυριών να διαμορφώνεται σε €153,2 δισ. (χωρίς παροχές σε είδος) και το δηλωθέν φορολογητέο εισόδημα των νοικοκυριών σε €74 δισ. περίπου, το συμπέρασμα που προκύπτει είναι ότι η φοροδιαφυγή παραμένει τεράστια.. Συνεπώς οι αυξήσεις φόρων θα εξωθήσουν είτε στην παραοικονομία είτε στη μετανάστευση και άλλα παραγωγικά τμήματα της μεσαίας τάξης. Η ολοκλήρωση της 1ης αξιολόγησης είναι αναγκαία αλλά όχι ικανή συνθήκη για να οδηγηθεί η ελληνική οικονομία στην ανάκαμψη. Χρειάζονται χαμηλότεροι φορολογικοί συντελεστές, μείωση του μη μισθολογικού κόστους, φορολογικά κίνητρα για ιδιωτικές επενδύσεις, καθολική χρήση των ηλεκτρονικών συναλλαγών για πάταξη της φοροδιαφυγής κ.ο.κ. Όσο αυτά δεν γίνονται, τόσο η οικονομία θα αργεί, οι επενδυτές δεν θα εμφανίζονται, η φοροδιαφυγή θα συντηρεί στην ζωή οριακά παραγωγικές επιχειρήσεις, και οι νέοι με υψηλές εργασιακές εξειδικεύσεις και προσόντα θα μεταναστεύουν στο εξωτερικό.</w:t>
            </w:r>
          </w:p>
          <w:p w:rsidR="00A97FD0" w:rsidRPr="00124C09" w:rsidRDefault="00A97FD0" w:rsidP="00124C09">
            <w:pPr>
              <w:pStyle w:val="ListParagraph"/>
              <w:numPr>
                <w:ilvl w:val="0"/>
                <w:numId w:val="42"/>
              </w:numPr>
              <w:spacing w:after="0" w:line="240" w:lineRule="auto"/>
              <w:jc w:val="both"/>
              <w:rPr>
                <w:b/>
                <w:noProof/>
                <w:color w:val="000000"/>
                <w:sz w:val="16"/>
                <w:szCs w:val="16"/>
              </w:rPr>
            </w:pPr>
            <w:r w:rsidRPr="00124C09">
              <w:rPr>
                <w:b/>
                <w:noProof/>
                <w:color w:val="000000"/>
                <w:sz w:val="16"/>
                <w:szCs w:val="16"/>
              </w:rPr>
              <w:t xml:space="preserve">Η βιομηχανική παραγωγή δείχνει εκ νέου αντοχές, η οικοδομική δραστηριότητα φαίνεται να ανακάμπτει από μια εξαιρετικά χαμηλή βάση και η  τάση της αγοράς εργασίας παραμένει στάσιμη.   Από την άλλη ο αποπληθωρισμός, αφαιρουμένων των επιδράσεων τωνφόρων, επιμένει και η αγορά υπηρεσιών δίνει μια μικτή εικόνα. Η εκτέλεση του προϋπολογισμού στηρίζεται από την αύξηση των εσόδων λόγω αύξησης φόρωνκαι πληρωμών από την Ε.Ε., καθώς και τη συγκράτηση των ταμειακών δαπανών, με αποτέλεσμα τη σημαντική φαινομενικά βελτίωση του πρωτογενούς αποτελέσματος. </w:t>
            </w:r>
          </w:p>
          <w:p w:rsidR="00A97FD0" w:rsidRPr="00124C09" w:rsidRDefault="00A97FD0" w:rsidP="00124C09">
            <w:pPr>
              <w:pStyle w:val="ListParagraph"/>
              <w:numPr>
                <w:ilvl w:val="0"/>
                <w:numId w:val="42"/>
              </w:numPr>
              <w:spacing w:after="0" w:line="216" w:lineRule="auto"/>
              <w:jc w:val="both"/>
              <w:rPr>
                <w:bCs/>
                <w:color w:val="7030A0"/>
                <w:sz w:val="16"/>
                <w:szCs w:val="16"/>
              </w:rPr>
            </w:pPr>
            <w:r w:rsidRPr="00124C09">
              <w:rPr>
                <w:b/>
                <w:noProof/>
                <w:color w:val="000000"/>
                <w:sz w:val="16"/>
                <w:szCs w:val="16"/>
              </w:rPr>
              <w:t>Οισυντελεστές φορολογίας εισοδήματος φυσικών προσώπων είναι δομημένοι με τέτοιο τρόπο που επιβαρύνουν ειδικά την παραγωγική μισθωτή εργασία στον ιδιωτικό τομέα, δημιουργώντας και το αντίστοιχο αντικίνητρο. Από την άλλη, ειδικά η μισθωτή εργασία στο δημόσιο και τα εισοδήματα από σύνταξη ευνοούνται καθώς για τη συντριπτική πλειοψηφία των φορολογούμενων το εισόδημα αυτό παραμένει αφορολόγητο ή καταβάλλει ελάχιστο φόρο εισοδήματος φυσικών προσώπων. Συνεπώς, την ώρα που συζητιέται η παραπέρα αύξηση της φορολογικής επιβάρυνσης στην «υψηλά αμειβόμενη» εργασία, είναι σημαντικό να ληφθούν υπόψη και οι επιπτώσεις των υφιστάμενων στρεβλώσεων στις δυναμικές επιχειρήσεις που δημιουργούν καλά αμειβόμενες δουλειές.   Όταν ο μέσος πολίτης αποθαρρύνεται από την προσπάθεια για καλύτερη εργασία τελικά αποψιλώνεται η μεσαία τάξη. Η επακόλουθη κατάρρευση της κοινωνικής συνοχής οδηγεί βέβαια σε οικονομική στασιμότητα και σταδιακά πολιτικό ριζοσπαστισμό, που με τη σειρά του υπονομεύει ακόμα περισσότερο την ευημερία των πολλών. Κυρίως όμως η φτωχοποίηση της κοινωνίας οδηγεί στην ανυπαρξία πόρων που σε μια ευημερούσα κοινωνία με ισχυρή, οικονομικά και πολιτικά, μεσαία τάξη μπορούν να χρηματοδοτήσουν ένα αποτελεσματικό κράτος πρόνοιας και ουσιαστικές πολιτικές εισοδηματικής ενίσχυσης των πλέον αδύναμων.</w:t>
            </w:r>
          </w:p>
          <w:p w:rsidR="00A97FD0" w:rsidRPr="00124C09" w:rsidRDefault="00A97FD0" w:rsidP="00124C09">
            <w:pPr>
              <w:pStyle w:val="ListParagraph"/>
              <w:spacing w:after="0" w:line="216" w:lineRule="auto"/>
              <w:jc w:val="both"/>
              <w:rPr>
                <w:bCs/>
                <w:color w:val="7030A0"/>
                <w:sz w:val="18"/>
                <w:szCs w:val="18"/>
              </w:rPr>
            </w:pPr>
          </w:p>
        </w:tc>
      </w:tr>
      <w:tr w:rsidR="00A97FD0" w:rsidRPr="00124C09" w:rsidTr="00124C09">
        <w:trPr>
          <w:cantSplit/>
          <w:trHeight w:hRule="exact" w:val="4964"/>
        </w:trPr>
        <w:tc>
          <w:tcPr>
            <w:tcW w:w="3663" w:type="dxa"/>
          </w:tcPr>
          <w:p w:rsidR="00A97FD0" w:rsidRPr="00124C09" w:rsidRDefault="00A97FD0" w:rsidP="00124C09">
            <w:pPr>
              <w:spacing w:after="0" w:line="240" w:lineRule="auto"/>
              <w:rPr>
                <w:b/>
              </w:rPr>
            </w:pPr>
          </w:p>
        </w:tc>
        <w:tc>
          <w:tcPr>
            <w:tcW w:w="7242" w:type="dxa"/>
            <w:gridSpan w:val="2"/>
          </w:tcPr>
          <w:tbl>
            <w:tblPr>
              <w:tblW w:w="7136" w:type="dxa"/>
              <w:tblLayout w:type="fixed"/>
              <w:tblCellMar>
                <w:left w:w="0" w:type="dxa"/>
                <w:right w:w="0" w:type="dxa"/>
              </w:tblCellMar>
              <w:tblLook w:val="00A0"/>
            </w:tblPr>
            <w:tblGrid>
              <w:gridCol w:w="7136"/>
            </w:tblGrid>
            <w:tr w:rsidR="00A97FD0" w:rsidRPr="00124C09" w:rsidTr="00336056">
              <w:tc>
                <w:tcPr>
                  <w:tcW w:w="7136" w:type="dxa"/>
                  <w:tcMar>
                    <w:top w:w="0" w:type="dxa"/>
                    <w:left w:w="108" w:type="dxa"/>
                    <w:bottom w:w="0" w:type="dxa"/>
                    <w:right w:w="108" w:type="dxa"/>
                  </w:tcMar>
                </w:tcPr>
                <w:p w:rsidR="00A97FD0" w:rsidRPr="00124C09" w:rsidRDefault="00A97FD0" w:rsidP="00E440AF">
                  <w:pPr>
                    <w:spacing w:after="0"/>
                    <w:rPr>
                      <w:color w:val="7030A0"/>
                      <w:sz w:val="28"/>
                      <w:szCs w:val="28"/>
                    </w:rPr>
                  </w:pPr>
                  <w:r w:rsidRPr="00124C09">
                    <w:rPr>
                      <w:b/>
                      <w:bCs/>
                      <w:color w:val="7030A0"/>
                      <w:sz w:val="28"/>
                      <w:szCs w:val="28"/>
                    </w:rPr>
                    <w:t>Τι εισοδήματα εισπράττουν και τι πληρώνουν σε φόρους και εισφορές τα νοικοκυριά</w:t>
                  </w:r>
                </w:p>
                <w:p w:rsidR="00A97FD0" w:rsidRPr="00124C09" w:rsidRDefault="00A97FD0" w:rsidP="00E440AF">
                  <w:pPr>
                    <w:spacing w:after="0"/>
                    <w:rPr>
                      <w:color w:val="7030A0"/>
                      <w:sz w:val="20"/>
                      <w:szCs w:val="20"/>
                    </w:rPr>
                  </w:pPr>
                  <w:r w:rsidRPr="00124C09">
                    <w:rPr>
                      <w:color w:val="7030A0"/>
                      <w:sz w:val="20"/>
                      <w:szCs w:val="20"/>
                    </w:rPr>
                    <w:t>(ΕΛΣΤΑΤ, Μη Χρηματοοικονομικοί Λογαριασμοί Θεσμικών Τομέων, 2014)</w:t>
                  </w:r>
                </w:p>
                <w:p w:rsidR="00A97FD0" w:rsidRPr="00124C09" w:rsidRDefault="00A97FD0" w:rsidP="001B30E6">
                  <w:pPr>
                    <w:spacing w:after="0" w:line="240" w:lineRule="auto"/>
                    <w:rPr>
                      <w:b/>
                      <w:sz w:val="20"/>
                      <w:szCs w:val="20"/>
                    </w:rPr>
                  </w:pPr>
                  <w:r w:rsidRPr="00124C09">
                    <w:rPr>
                      <w:b/>
                      <w:noProof/>
                      <w:sz w:val="20"/>
                      <w:szCs w:val="20"/>
                      <w:lang w:val="en-US"/>
                    </w:rPr>
                    <w:pict>
                      <v:shape id="Picture 18" o:spid="_x0000_i1025" type="#_x0000_t75" style="width:303pt;height:198pt;visibility:visible">
                        <v:imagedata r:id="rId8" o:title=""/>
                      </v:shape>
                    </w:pict>
                  </w:r>
                </w:p>
              </w:tc>
            </w:tr>
            <w:tr w:rsidR="00A97FD0" w:rsidRPr="00124C09" w:rsidTr="00336056">
              <w:tc>
                <w:tcPr>
                  <w:tcW w:w="7136" w:type="dxa"/>
                  <w:tcMar>
                    <w:top w:w="0" w:type="dxa"/>
                    <w:left w:w="108" w:type="dxa"/>
                    <w:bottom w:w="0" w:type="dxa"/>
                    <w:right w:w="108" w:type="dxa"/>
                  </w:tcMar>
                </w:tcPr>
                <w:p w:rsidR="00A97FD0" w:rsidRPr="00124C09" w:rsidRDefault="00A97FD0" w:rsidP="008D2A1C">
                  <w:pPr>
                    <w:rPr>
                      <w:u w:val="single"/>
                    </w:rPr>
                  </w:pPr>
                </w:p>
              </w:tc>
            </w:tr>
          </w:tbl>
          <w:p w:rsidR="00A97FD0" w:rsidRPr="00124C09" w:rsidRDefault="00A97FD0" w:rsidP="00124C09">
            <w:pPr>
              <w:spacing w:after="0" w:line="240" w:lineRule="auto"/>
              <w:jc w:val="center"/>
            </w:pPr>
          </w:p>
          <w:p w:rsidR="00A97FD0" w:rsidRPr="00124C09" w:rsidRDefault="00A97FD0" w:rsidP="00124C09">
            <w:pPr>
              <w:spacing w:after="0" w:line="240" w:lineRule="auto"/>
            </w:pPr>
          </w:p>
          <w:p w:rsidR="00A97FD0" w:rsidRPr="00124C09" w:rsidRDefault="00A97FD0" w:rsidP="00124C09">
            <w:pPr>
              <w:spacing w:after="0" w:line="240" w:lineRule="auto"/>
            </w:pPr>
          </w:p>
          <w:p w:rsidR="00A97FD0" w:rsidRPr="00124C09" w:rsidRDefault="00A97FD0" w:rsidP="00124C09">
            <w:pPr>
              <w:spacing w:after="0" w:line="240" w:lineRule="auto"/>
            </w:pPr>
          </w:p>
          <w:p w:rsidR="00A97FD0" w:rsidRPr="00124C09" w:rsidRDefault="00A97FD0" w:rsidP="00124C09">
            <w:pPr>
              <w:spacing w:after="0" w:line="240" w:lineRule="auto"/>
            </w:pPr>
          </w:p>
        </w:tc>
      </w:tr>
      <w:tr w:rsidR="00A97FD0" w:rsidRPr="00124C09" w:rsidTr="00124C09">
        <w:tblPrEx>
          <w:jc w:val="center"/>
        </w:tblPrEx>
        <w:trPr>
          <w:trHeight w:val="13518"/>
          <w:jc w:val="center"/>
        </w:trPr>
        <w:tc>
          <w:tcPr>
            <w:tcW w:w="5626" w:type="dxa"/>
            <w:gridSpan w:val="2"/>
          </w:tcPr>
          <w:p w:rsidR="00A97FD0" w:rsidRPr="00124C09" w:rsidRDefault="00A97FD0" w:rsidP="00124C09">
            <w:pPr>
              <w:spacing w:after="0" w:line="235" w:lineRule="auto"/>
              <w:jc w:val="both"/>
              <w:rPr>
                <w:b/>
                <w:bCs/>
              </w:rPr>
            </w:pPr>
            <w:r w:rsidRPr="00124C09">
              <w:br w:type="page"/>
            </w:r>
            <w:r w:rsidRPr="00124C09">
              <w:rPr>
                <w:b/>
                <w:bCs/>
              </w:rPr>
              <w:t>Διαθέσιμο εισόδημα, φόροι και αποταμίευση</w:t>
            </w:r>
          </w:p>
          <w:p w:rsidR="00A97FD0" w:rsidRPr="00124C09" w:rsidRDefault="00A97FD0" w:rsidP="00124C09">
            <w:pPr>
              <w:spacing w:after="0" w:line="235" w:lineRule="auto"/>
              <w:jc w:val="both"/>
              <w:rPr>
                <w:sz w:val="20"/>
                <w:szCs w:val="20"/>
              </w:rPr>
            </w:pPr>
            <w:r w:rsidRPr="00124C09">
              <w:rPr>
                <w:sz w:val="20"/>
                <w:szCs w:val="20"/>
              </w:rPr>
              <w:t>Η μεγάλη ύφεση των τελευταίων χρόνων, ως αποτέλεσμα της δημοσιονομικής προσαρμογής που ακολούθησε την εφαρμογή των Μνημονίων, οδήγησε σε σημαντική μείωση του διαθέσιμου εισοδήματος και της τελικής κατανάλωσης των νοικοκυριών (Διάγραμμα 1). Ως νοικοκυριά στην ανάλυση αυτή, λογίζονται οι οικογένειες που έχουν εισοδήματα από εξαρτημένη εργασία (μισθωτοί) καθώς και όσοι έχουν εισοδήματα από ατομικές επιχειρήσεις και ελευθέρια επαγγέλματα. Ως ήταν φυσικό, τα νοικοκυριά προσπάθησαν να κρατήσουν την κατανάλωση σε όσο το δυνατόν υψηλότερο επίπεδο, μειώνοντας την αποταμίευσή τους. Μάλιστα, το 2012 η αποταμίευση των νοικοκυριών μηδενίζεται και έκτοτε γίνεται αρνητική, που σημαίνει ότι τα νοικοκυριά στηρίζουν το επίπεδο κατανάλωσής τους όχι πλέον με τρέχουσες αποταμιεύσεις αλλά με ρευστοποίηση πλούτου (συσσωρευμένες αποταμιεύσεις). Η μεγάλη μείωση των καταθέσεων της περιόδου, η εκποίηση περιουσιακών στοιχείων και η συσσώρευση ληξιπρόθεσμων οφειλών προς την εφορία είναι οι συνηθέστερες μέθοδοι  που χρησιμοποιήθηκαν από τα νοικοκυριά για να στηρίξουν τη μειούμενη κατανάλωσή τους. Την ίδια περίοδο της προσαρμογής, μειώνονται και οι επενδύσεις που κάνουν τα νοικοκυριά, κυρίως σε κατοικίες ή/και σε κεφαλαιουχικό εξοπλισμό (Διάγραμμα 2). Επενδύσεις ύψους  €30,4 δισ. το 2006 καλύπτονταν κατά €11,4 δισ. από αποταμιεύσεις και κατά €19,2 δισ. περίπου από δανεισμό. Το 2014 οι επενδύσεις έχουν υποχωρήσει σε μόλις €5,7 δισ. και ο δανεισμός σε €12,3 δισ., δεδομένης της αρνητικής αποταμίευσης κατά €7 δισ.</w:t>
            </w:r>
          </w:p>
          <w:p w:rsidR="00A97FD0" w:rsidRPr="00124C09" w:rsidRDefault="00A97FD0" w:rsidP="00124C09">
            <w:pPr>
              <w:spacing w:after="0" w:line="235" w:lineRule="auto"/>
              <w:jc w:val="both"/>
              <w:rPr>
                <w:sz w:val="20"/>
                <w:szCs w:val="20"/>
              </w:rPr>
            </w:pPr>
            <w:r w:rsidRPr="00124C09">
              <w:rPr>
                <w:sz w:val="20"/>
                <w:szCs w:val="20"/>
              </w:rPr>
              <w:t>Ως ποσοστό του διαθέσιμου εισοδήματος, η τρέχουσα αποταμίευση των ελληνικών νοικοκυριών από 7,5% το 2006 διαμορφώνεται πλέον σε-6,6% το 2015 (Διάγραμμα 3), με όλες τις άλλες χώρες της Ευρωζώνης να έχουν θετικό ποσοστό αποταμίευσης. Η Πορτογαλία και η Ιρλανδία έχουν ποσοστό αποταμίευσης 4,3% περίπου (που είναι κάτω από το 1/3 περίπου της αποταμίευσης του μέσου νοικοκυριού στην Ευρωζώνη), με τα νοικοκυριά στην Γερμανία και την Γαλλία να έχουν μεγαλύτερες αποταμιεύσεις από Ιταλία και Ισπανία, με τις τελευταίες να βρίσκονται κάτω του μέσου όρου στην Ευρωζώνη. Η απόκλιση των ελληνικών νοικοκυριών είναι τεράστια και προοιωνίζεται μείωση του βιοτικού επιπέδου στο μέλλον, καθώς δεν μπορεί να συνεχισθεί η στήριξη της κατανάλωσης και των όποιων επενδύσεων κάνουν τα νοικοκυριά, από τα «έτοιμα», και με το τραπεζικό σύστημα να βρίσκεται σε φάση απομόχλευσης. Βεβαίως, η διέξοδος είναι η ανάπτυξη, αν και θα πάρει αρκετά χρόνια για να επιστρέψει η κανονικότητα στην οικονομία, καθώς τα νοικοκυριά θα προσπαθούν να αναπληρώσουν τις χαμένες αποταμιεύσεις τους, να αποπληρώσουν δάνεια, ληξιπρόθεσμες οφειλές κ.ο.κ.</w:t>
            </w:r>
          </w:p>
          <w:p w:rsidR="00A97FD0" w:rsidRPr="00124C09" w:rsidRDefault="00A97FD0" w:rsidP="00124C09">
            <w:pPr>
              <w:spacing w:after="0" w:line="235" w:lineRule="auto"/>
              <w:jc w:val="both"/>
              <w:rPr>
                <w:sz w:val="20"/>
                <w:szCs w:val="20"/>
              </w:rPr>
            </w:pPr>
            <w:r w:rsidRPr="00124C09">
              <w:rPr>
                <w:sz w:val="20"/>
                <w:szCs w:val="20"/>
              </w:rPr>
              <w:t xml:space="preserve">Στο διάγραμμα της πρώτης σελίδας, ως διαθέσιμο εισόδημα των νοικοκυριών, καταγράφεται το εισόδημα μετά από φόρους και εισφορές κοινωνικής ασφάλισης. Έτσι, το 2014 το εισόδημα προ φόρων και εισφορών ανερχόταν σε €175,1 δισ., οι φόροι εισοδήματος, πλούτου κ.λπ. σε €10,5 δισ. και οι εισφορές κοινωνικής ασφάλισης σε €30,6 δισ. περίπου, με το διαθέσιμο εισόδημα να διαμορφώνεται σε €134,1 δισ. Αξίζει να σημειωθεί ότι το 2014 οι μισθωτοί συμμετείχαν κατά 33% στο σύνολο του διαθεσίμου εισοδήματος, οι ατομικές επιχειρήσεις και οι  ελεύθεροι επαγγελματίες κατά 32% και οι συνταξιούχοι κατά 20%, ενώ το 2009 η κατανομή ήταν αντίστοιχα 34%, 31% και 17% αντιστοίχως (Διάγραμμα 5), όπως αναμενόταν. Είναι, επίσης, σημαντικό να αναφερθεί ότι το εισόδημα περιουσίας των νοικοκυριών από € 10,9 δισ. το 2009 μειώθηκε κατά 28% σε € 7,8 δισ. το 2014. Είναι, επίσης, χαρακτηριστικό ότι οι φόροι και οι εισφορές  μειώθηκαν σχεδόν οριακά παρά την τεράστια μείωση του εισοδήματος των νοικοκυριών μεταξύ 2009 και 2014 λόγω της συνεχούς αύξησης της φορολογικής επιβάρυνσης. Ως ποσοστό του διαθέσιμου εισοδήματος, οι φόροι και οι εισφορές κοινωνικής ασφάλισης διαμορφώνονται πλέον σε 23,4% του εισοδήματος των νοικοκυριών το 2014, έναντι 19,4% το 2009. </w:t>
            </w:r>
          </w:p>
          <w:p w:rsidR="00A97FD0" w:rsidRPr="00124C09" w:rsidRDefault="00A97FD0" w:rsidP="00124C09">
            <w:pPr>
              <w:spacing w:after="0" w:line="235" w:lineRule="auto"/>
              <w:jc w:val="both"/>
              <w:rPr>
                <w:sz w:val="20"/>
                <w:szCs w:val="20"/>
              </w:rPr>
            </w:pPr>
            <w:r w:rsidRPr="00124C09">
              <w:rPr>
                <w:sz w:val="20"/>
                <w:szCs w:val="20"/>
              </w:rPr>
              <w:t>Συγκριτικά, πάντως, με τις άλλες χώρες της Ευρωπαϊκής Ένωσης (ΕΕ28), η Ελλάδα, παρά την τεράστια αύξηση της φορο-εισφορο-επιβάρυνσης, απέχει ακόμη αρκετά από τον μέσο όρο της Ευρωπαϊκής Ένωσης (27,7%) και από τον συντελεστή επιβάρυνσης της Ιταλίας (26,2%) και της Ιρλανδίας (24,8%), ενώ είναι στο ίδιο επίπεδο με τον αντίστοιχο συντελεστή της Πορτογαλίας (23,2%) (διάγραμμα 4). Όταν ο συντελεστής επιβάρυνσης διαχωρίζεται σε φόρους και εισφορές κοινωνικής ασφάλισης, στην Ελλάδα το 2014 η φορολογική επιβάρυνση είναι 6% (9,7% στην Ευρωπαϊκή Ένωση, 13,6% στην Ιρλανδία και 7,6% στην Πορτογαλία) έναντι 5% το 2009 (9,1% στην Ευρωπαϊκή Ένωση, 10,8% στην Ιρλανδία και 5,2% στην Πορτογαλία). Αξίζει να σημειωθεί ότι η Ιρλανδία και η Πορτογαλία ήταν μεταξύ των χωρών στην Ευρωπαϊκή Ένωση με τη μεγαλύτερη αύξηση της συγκεκριμένης επιβάρυνσης από το 2009 έως το 2014 (Διάγραμμα 6). Όσον αφορά στην επιβάρυνση του διαθεσίμου εισοδήματος από εισφορές κοινωνικής ασφάλισης, το 2014 στην Ελλάδα ο συντελεστής διαμορφώνεται σε 17,5% (18% στην Ευρωπαϊκή Ένωση, 11,2% στην Ιρλανδία και 15,6% στην Πορτογαλία) έναντι 14,4% το 2009 (17,5% στην Ευρωπαϊκή Ένωση, 10,6% στην Ιρλανδία και 15,8% στην Πορτογαλία). Η διαφορά αυτή υποδηλώνει και την προσπάθεια που πρέπει ακόμη να γίνει για την επέκταση της φορο-εισφορο-δοτικής βάσης με την πάταξη της φοροδιαφυγής/εισφοροδιαφυγής και την αύξηση των εσόδων από την αναπτυξιακή διαδικασία.</w:t>
            </w:r>
          </w:p>
          <w:p w:rsidR="00A97FD0" w:rsidRPr="00124C09" w:rsidRDefault="00A97FD0" w:rsidP="00124C09">
            <w:pPr>
              <w:spacing w:after="0" w:line="235" w:lineRule="auto"/>
              <w:jc w:val="both"/>
              <w:rPr>
                <w:b/>
                <w:noProof/>
                <w:sz w:val="20"/>
                <w:szCs w:val="20"/>
              </w:rPr>
            </w:pPr>
            <w:r w:rsidRPr="00124C09">
              <w:rPr>
                <w:sz w:val="20"/>
                <w:szCs w:val="20"/>
              </w:rPr>
              <w:t xml:space="preserve">Όλοι  οι υπολογισμοί γίνονται για το μέσο ελληνικό νοικοκυριό (που προφανώς αποτελεί μια στατιστική κατασκευή). Στην πραγματικότητα, υπάρχει ακόμη μεγάληφοροδιαφυγή και παραοικονομία, όπου εργαζόμενοι και επαγγελματίες απασχολούνται χωρίς να καταβάλλονται εισφορές και φόροι εισοδήματος. Έτσι, οι συνεπείς φορολογούμενοι επιβαρύνονται πολύ περισσότερο απ’ ό,τι τα ποσοστά στο διάγραμμα 4 υποδηλώνουν, συνταξιούχοι απολαμβάνουν συντάξεις για τις οποίες συνεισφέρουν πολύ λιγότερα απ’ αυτά που εισπράττουν, κ.ο.κ. Το ζητούμενο δεν είναι μόνο να αυξηθεί ο μέσος όρος της επιβάρυνσης, αλλά ταυτόχρονα αυτό να γίνει με το να πληρώσουν αυτοί που δεν πληρώνουν τα αναλογούντα σήμερα. </w:t>
            </w:r>
            <w:r w:rsidRPr="00124C09">
              <w:rPr>
                <w:b/>
                <w:sz w:val="20"/>
                <w:szCs w:val="20"/>
              </w:rPr>
              <w:t>Με το εισόδημα των νοικοκυριών να διαμορφώνεται σε €153,2 δισ. (χωρίς παροχές σε είδος) και το δηλωθέν φορολογητέο εισόδημα των νοικοκυριών σε €74 δισ. περίπου (στο οποίο πληρώνουν €8,7 δισ. σε φόρο εισοδήματος και ειδική εισφορά αλληλεγγύης, ή 11,8% μέσο φορολογικό συντελεστή), το συμπέρασμα που προκύπτει είναι ότι η φοροδιαφυγή παραμένει τεράστια</w:t>
            </w:r>
            <w:r w:rsidRPr="00124C09">
              <w:rPr>
                <w:sz w:val="20"/>
                <w:szCs w:val="20"/>
              </w:rPr>
              <w:t>.Είναι, συνεπώς, επιτακτική ανάγκη να επεκταθεί η φορολογική βάση ώστε να πάψουν να επιβαρύνονται υπέρμετρα οι μισθωτοί στα μεσαία εισοδηματικά κλιμάκια, που είναι η κοινωνική τάξη που στηρίζει ουσιαστικά όλο το κοινωνικό εποικοδόμημα και που η κατάρρευσή της δεν μπορεί να αγνοηθεί (βλέπε την ανάλυση στο τέλος του δελτίου).</w:t>
            </w:r>
          </w:p>
          <w:p w:rsidR="00A97FD0" w:rsidRPr="00124C09" w:rsidRDefault="00A97FD0" w:rsidP="00124C09">
            <w:pPr>
              <w:spacing w:after="0" w:line="235" w:lineRule="auto"/>
              <w:jc w:val="both"/>
              <w:rPr>
                <w:b/>
                <w:noProof/>
                <w:sz w:val="20"/>
                <w:szCs w:val="20"/>
              </w:rPr>
            </w:pPr>
            <w:r w:rsidRPr="00124C09">
              <w:rPr>
                <w:b/>
                <w:noProof/>
                <w:sz w:val="20"/>
                <w:szCs w:val="20"/>
              </w:rPr>
              <w:t>Πρόσφατες οικονομικές εξελίξεις</w:t>
            </w:r>
          </w:p>
          <w:p w:rsidR="00A97FD0" w:rsidRPr="00124C09" w:rsidRDefault="00A97FD0" w:rsidP="00124C09">
            <w:pPr>
              <w:spacing w:after="0" w:line="235" w:lineRule="auto"/>
              <w:jc w:val="both"/>
              <w:rPr>
                <w:sz w:val="20"/>
                <w:szCs w:val="20"/>
              </w:rPr>
            </w:pPr>
            <w:r w:rsidRPr="00124C09">
              <w:rPr>
                <w:b/>
                <w:bCs/>
                <w:sz w:val="20"/>
                <w:szCs w:val="20"/>
                <w:u w:val="single"/>
              </w:rPr>
              <w:t>Βιομηχανική Παραγωγή:</w:t>
            </w:r>
            <w:r w:rsidRPr="00124C09">
              <w:rPr>
                <w:sz w:val="20"/>
                <w:szCs w:val="20"/>
              </w:rPr>
              <w:t xml:space="preserve">Ενισχύεται περαιτέρω η βιομηχανική παραγωγή τον Ιανουάριο του 2016 (+4,6%), με τη μεταποίηση χωρίς τα πετρελαιοειδή να κινείται ανοδικά για τρίτο συνεχόμενο μήνα (+5,5%), ακολουθώντας τη μικρή, αλλά σταθερή, βελτίωση των επιχειρηματικών προσδοκιών που καταγράφεται από το φθινόπωρο του 2015 και μετά (Διάγραμμα 8). Μεταξύ των κλάδων της μεταποίησης, η παραγωγή αυξήθηκε σημαντικά τον Ιανουάριο του 2016 σε σύγκριση με τον αντίστοιχο μήνα πέρυσι στα μη μεταλλικά ορυκτά (+20,1%), ιδίως στον κλάδο των τσιμέντων (+35,8%), στα ποτά (+19%), τον καπνό (+31,3%) και στα χημικά (+15%). Αναφορικά με τους υπόλοιπους κλάδους της βιομηχανίας, στον ηλεκτρισμό και στην παροχή νερού ο σχετικός δείκτης σημείωσε επίσης άνοδο (+6,8% και +1,5% αντίστοιχα), ενώ στα ορυχεία και λατομεία η παραγωγή υποχώρησε κατά -13,6%. </w:t>
            </w:r>
          </w:p>
          <w:p w:rsidR="00A97FD0" w:rsidRPr="00124C09" w:rsidRDefault="00A97FD0" w:rsidP="00124C09">
            <w:pPr>
              <w:spacing w:after="0" w:line="235" w:lineRule="auto"/>
              <w:jc w:val="both"/>
              <w:rPr>
                <w:sz w:val="20"/>
                <w:szCs w:val="20"/>
              </w:rPr>
            </w:pPr>
            <w:r w:rsidRPr="00124C09">
              <w:rPr>
                <w:b/>
                <w:bCs/>
                <w:sz w:val="20"/>
                <w:szCs w:val="20"/>
                <w:u w:val="single"/>
              </w:rPr>
              <w:t>Εργατικό δυναμικό:</w:t>
            </w:r>
            <w:r w:rsidRPr="00124C09">
              <w:rPr>
                <w:sz w:val="20"/>
                <w:szCs w:val="20"/>
              </w:rPr>
              <w:t xml:space="preserve"> Στο 24% υποχώρησε το εποχικά διορθωμένο ποσοστό ανεργίας τον Δεκέμβριο του 2015, έναντι 25,9% τον αντίστοιχο μήνα του 2014 και 24,4% τον Νοέμβριο του 2015. Το σύνολο των απασχολουμένων ανήλθε στους 3.649 χιλ., ενώ ο αριθμός των ανέργων υποχώρησε στους 1.150 χιλ. περίπου, παρουσιάζοντας μείωση -7% σε σύγκριση με τον Δεκέμβριο του 2014 και -1,7% σε σύγκριση με τον Νοέμβριο του 2015 (Διάγραμμα 9). Ταυτόχρονα, το Δ’ 3μηνο του 2015 ο δείκτης απασχολουμένων στο λιανικό εμπόριο σημείωσε αύξηση σε σύγκριση με το αντίστοιχο 3μηνο του 2014 +0,9%, ενώ ο μέσος ετήσιος δείκτης αυξήθηκε κατά +2,1%. Σημειώνεται ότι, μαζί με τον δείκτη απασχολουμένων στο λιανικό εμπόριο, η ΕΛΣΤΑΤ ανακοίνωσε για πρώτη φορά τους δείκτες ωρών εργασίας και μισθών και ημερομισθίων στο λιανικό εμπόριο, για το Δ’ 3μηνο του 2015. Σύμφωνα με τα στοιχεία αυτών των δεικτών, οι ώρες εργασίας αυξήθηκαν κατά +1,1% το Δ’ 3μηνο του 2015 και κατά +0,8 συνολικά το 2015, οι μισθοί και τα ημερομίσθια υποχώρησαν κατά -2,6% και -0,1% αντίστοιχα.  </w:t>
            </w:r>
          </w:p>
          <w:p w:rsidR="00A97FD0" w:rsidRPr="00124C09" w:rsidRDefault="00A97FD0" w:rsidP="00124C09">
            <w:pPr>
              <w:spacing w:after="0" w:line="235" w:lineRule="auto"/>
              <w:jc w:val="both"/>
              <w:rPr>
                <w:sz w:val="20"/>
                <w:szCs w:val="20"/>
              </w:rPr>
            </w:pPr>
            <w:r w:rsidRPr="00124C09">
              <w:rPr>
                <w:b/>
                <w:bCs/>
                <w:sz w:val="20"/>
                <w:szCs w:val="20"/>
                <w:u w:val="single"/>
              </w:rPr>
              <w:t>Τιμές:</w:t>
            </w:r>
            <w:r w:rsidRPr="00124C09">
              <w:rPr>
                <w:sz w:val="20"/>
                <w:szCs w:val="20"/>
              </w:rPr>
              <w:t>Μείωση -0,5% σημείωσε ο ΔΤΚ τον Φεβρουάριο του 2016 έναντι μείωσης -0,7% τον προηγούμενο μήνα, κλείνοντας τρία έτη συνεχούς αποπληθωρισμού. Αν και ο ρυθμός μείωσης των τιμών περιορίστηκε κατά το Β’ 6μηνο του 2015, αυτό οφείλεται κυρίως στην αύξηση των φόρων, ιδίως του ΦΠΑ, καθώς ο εναρμονισμένος δείκτης τιμών καταναλωτή με σταθερούς φόρους από τον Αύγουστο του 2015 μέχρι τον Ιανουάριο του 2016 κινείται στο επίπεδο από -1,5% έως -2,1% (Διάγραμμα ΕΞ3). Σημειώνεται πάντως ότι τον Φεβρουάριο του 2016 ο πυρήνας πληθωρισμού (ΕνΔΤΚ χωρίς διατροφή, ποτά, καπνό και ενέργεια) σημείωσε αύξηση (+0,5%) για πρώτη φορά μετά από 44 μήνες (Διάγραμμα 10). Παράλληλα, τον Ιανουάριο του 2016 οι τιμές εισαγωγών στη βιομηχανία υποχώρησαν κατά -6,5%, κυρίως λόγω της πτώσης των τιμών πετρελαίου (-33,2%), γεγονός το οποίο αντικατοπτρίζεται στη μείωση των τιμών εισαγωγών από χώρες εκτός Ευρωζώνης κατά -12,9% την ώρα που οι τιμές εισαγωγών από χώρες της Ευρωζώνης καταγράφουν οριακή άνοδο (+0,3%). Την ίδια ώρα, τον Ιανουάριο του 2016 συνεχίστηκε για 30ο μήνα η μείωση των τιμών εισροών (-1,3%), ενώ οι τιμές εκροών (αγροτικών προϊόντων) υποχώρησαν (-2,5%) για πρώτη φορά μετά από 13 συνεχόμενους μήνες ανοδικής πορείας, κυρίως ως αποτέλεσμα της υποχώρησης των τιμών των λαχανικών (-16,7%) και των φρούτων (-1,9%).</w:t>
            </w:r>
          </w:p>
          <w:p w:rsidR="00A97FD0" w:rsidRPr="00124C09" w:rsidRDefault="00A97FD0" w:rsidP="00124C09">
            <w:pPr>
              <w:spacing w:after="0" w:line="235" w:lineRule="auto"/>
              <w:jc w:val="both"/>
              <w:rPr>
                <w:sz w:val="20"/>
                <w:szCs w:val="20"/>
              </w:rPr>
            </w:pPr>
            <w:r w:rsidRPr="00124C09">
              <w:rPr>
                <w:b/>
                <w:bCs/>
                <w:sz w:val="20"/>
                <w:szCs w:val="20"/>
                <w:u w:val="single"/>
              </w:rPr>
              <w:t>Οικοδομική δραστηριότητα:</w:t>
            </w:r>
            <w:r w:rsidRPr="00124C09">
              <w:rPr>
                <w:sz w:val="20"/>
                <w:szCs w:val="20"/>
              </w:rPr>
              <w:t xml:space="preserve"> Ανάκαμψη παρουσίασε η ιδιωτική οικοδομική δραστηριότητα τον Δεκέμβριο του 2015, έπειτα από έξι μήνες πτωτικής πορείας, με σημαντική αύξηση του όγκου που αντιστοιχεί στις άδειες που εκδόθηκαν κατά +67,3% (Διάγραμμα 11).  Η εξέλιξη αυτή, σε συνδυασμό με τη θετική πορεία κατά τους πρώτους μήνες του 2015, κυρίως σε τουριστικές περιοχές, συνέβαλε στη συγκράτηση της υποχώρησης στο -0,2% στο σύνολο του έτους. Αντίθετα, κατά το Δ’ 3μηνο του 2015 ο δείκτης παραγωγής στις κατασκευές σημείωσε πτώση -10,1% σε σύγκριση με το αντίστοιχο 3μηνο του 2014 και -2,4% συνολικά κατά το 2015.</w:t>
            </w:r>
          </w:p>
          <w:p w:rsidR="00A97FD0" w:rsidRPr="00124C09" w:rsidRDefault="00A97FD0" w:rsidP="00124C09">
            <w:pPr>
              <w:spacing w:after="0" w:line="235" w:lineRule="auto"/>
              <w:jc w:val="both"/>
              <w:rPr>
                <w:sz w:val="20"/>
                <w:szCs w:val="20"/>
              </w:rPr>
            </w:pPr>
            <w:r w:rsidRPr="00124C09">
              <w:rPr>
                <w:b/>
                <w:bCs/>
                <w:sz w:val="20"/>
                <w:szCs w:val="20"/>
                <w:u w:val="single"/>
              </w:rPr>
              <w:t>Κύκλος εργασιών στον τομέα των υπηρεσιών:</w:t>
            </w:r>
            <w:r w:rsidRPr="00124C09">
              <w:rPr>
                <w:sz w:val="20"/>
                <w:szCs w:val="20"/>
              </w:rPr>
              <w:t xml:space="preserve"> Μικτή είναι η εικόνα στον τομέα των υπηρεσιών αναφορικά με την εξέλιξη του κύκλου εργασιών το Δ’ 3μηνο του 2015. Μεταξύ των κλάδων στους οποίους οι πωλήσεις κινήθηκαν ανοδικά είναι οι ταχυδρομικές/ταχυμεταφορικές δραστηριότητες (+6,9%), η πληροφορική (+6%), η επεξεργασία δεδομένων και παροχή πληροφόρησης (+10,2%), οι δραστηριότητες αρχιτεκτόνων/μηχανικών (+19,2%) και οι λοιπές επαγγελματικές/επιστημονικές/τεχνικές δραστηριότητες (+29,1%), ενώ μείωση καταγράφεται στις τηλεπικοινωνίες (-3,2%), τις εκδόσεις (-4%), τις υπηρεσίες παροχής συμβουλών διαχείρισης (-18,8%), διαφήμισης/έρευνας αγοράς (-6,9%), καθαρισμού (-0,6%) και τις υπηρεσίες υποστήριξης προς τις επιχειρήσεις (-3,5%).</w:t>
            </w:r>
          </w:p>
          <w:p w:rsidR="00A97FD0" w:rsidRPr="00124C09" w:rsidRDefault="00A97FD0" w:rsidP="00124C09">
            <w:pPr>
              <w:spacing w:after="0" w:line="235" w:lineRule="auto"/>
              <w:jc w:val="both"/>
              <w:rPr>
                <w:b/>
                <w:sz w:val="20"/>
                <w:szCs w:val="20"/>
              </w:rPr>
            </w:pPr>
            <w:r w:rsidRPr="00124C09">
              <w:rPr>
                <w:b/>
                <w:sz w:val="20"/>
                <w:szCs w:val="20"/>
                <w:u w:val="single"/>
              </w:rPr>
              <w:t>Εκτέλεση κρατικού προϋπολογισμού:</w:t>
            </w:r>
            <w:r w:rsidRPr="00124C09">
              <w:rPr>
                <w:sz w:val="20"/>
                <w:szCs w:val="20"/>
              </w:rPr>
              <w:t xml:space="preserve"> Η εκτέλεση του κρατικού προϋπολογισμού το δίμηνο Ιανουαρίου –Φεβρουαρίου 2016  χαρακτηρίζεται (Πίνακας 1) από σημαντική αύξηση των εσόδων του προϋπολογισμού δημοσίων επενδύσεων, τόσο σε σχέση με το πρώτο δίμηνο του 2015 όσο και σε σχέση με το στόχο του προϋπολογισμού λόγω μεγάλης αύξησης των εισροών από την Ε.Ε. που έφτασαν τα €1,5 δις. έναντι στόχου €856 εκατ., την αύξηση των καθαρών εσόδων σε σχέση με το 2015 κατά €811 εκατ. (€1,26 δις αν αφαιρεθούν τα έσοδα από ANFA/SMP και άλλα έκτακτα έσοδα Φεβρουαρίου 2015) και τη συγκράτηση των πρωτογενών δαπανών πολύ κάτω του στόχου αλλά και κάτω των επιπέδων του διμήνου 2015. Έτσι επιτεύχθηκε ταμειακό ισοζύγιο του κρατικού προϋπολογισμού €1,32 εκατ. έναντι ελλείμματος €194 εκατ. το αντίστοιχο διάστημα του 2015 και στόχου του Προϋπολογισμού 2016 για έλλειμμα €615 εκατ. Το πρωτογενές αποτέλεσμα διαμορφώθηκε σε πλεόνασμα ύψους €3 δις., έναντι €1,24 εκατ. την ίδια περίοδο το 2015 και στόχου €1,1 δις.</w:t>
            </w:r>
          </w:p>
          <w:p w:rsidR="00A97FD0" w:rsidRPr="00124C09" w:rsidRDefault="00A97FD0" w:rsidP="00124C09">
            <w:pPr>
              <w:spacing w:after="0" w:line="235" w:lineRule="auto"/>
              <w:jc w:val="both"/>
              <w:rPr>
                <w:b/>
                <w:sz w:val="14"/>
                <w:szCs w:val="14"/>
              </w:rPr>
            </w:pPr>
          </w:p>
          <w:p w:rsidR="00A97FD0" w:rsidRPr="00124C09" w:rsidRDefault="00A97FD0" w:rsidP="00124C09">
            <w:pPr>
              <w:spacing w:after="0" w:line="235" w:lineRule="auto"/>
              <w:jc w:val="both"/>
              <w:rPr>
                <w:b/>
                <w:sz w:val="20"/>
                <w:szCs w:val="20"/>
              </w:rPr>
            </w:pPr>
            <w:r w:rsidRPr="00124C09">
              <w:rPr>
                <w:b/>
                <w:sz w:val="20"/>
                <w:szCs w:val="20"/>
              </w:rPr>
              <w:t>Φορολογία εισοδήματος φυσικών προσώπων: Ποιους επιβαρύνουν τελικά οι υψηλοί συντελεστές;</w:t>
            </w:r>
          </w:p>
          <w:p w:rsidR="00A97FD0" w:rsidRPr="00124C09" w:rsidRDefault="00A97FD0" w:rsidP="00124C09">
            <w:pPr>
              <w:spacing w:after="0" w:line="235" w:lineRule="auto"/>
              <w:jc w:val="both"/>
              <w:rPr>
                <w:sz w:val="20"/>
                <w:szCs w:val="20"/>
              </w:rPr>
            </w:pPr>
            <w:r w:rsidRPr="00124C09">
              <w:rPr>
                <w:sz w:val="20"/>
                <w:szCs w:val="20"/>
              </w:rPr>
              <w:t xml:space="preserve">Καθώς η συζήτηση για το φορολογικό και το ασφαλιστικό κορυφώνεται, παραθέτουμε ορισμένα χρήσιμα δεδομένα, καταρχήν για το φορολογικό σύστημα. Η έκπτωση φόρου, που πλέον στη χώρα μας αφορά μόνο συνταξιούχους και μισθωτούς, εξαιρεί από την πληρωμή φόρου εισοδήματος τους μισθωτούς και συνταξιούχους με εισόδημα κάτω των €9.500, με το όφελος να μειώνεται σταδιακά ανά €1.000 εισοδήματος και να μηδενίζεται για ετήσιο εισόδημα άνω των €42.000 (Πίνακας 2). Αυτό που μας αποκαλύπτει μια σύγκριση με το αφορολόγητο (ή πιστώσεις φόρου) σε βασικές χώρες της ΕΕ είναι ότι στην Ελλάδα το αφορολόγητο αυτό είναι ιδιαίτερα υψηλό όχι ως απόλυτο μέγεθος, αλλά ως προς το όριο φτώχειας, που εδώ υπολογίζεται ως το 60% του διάμεσου εισοδήματος (Πίνακας 3, Διάγραμμα 12). </w:t>
            </w:r>
          </w:p>
          <w:p w:rsidR="00A97FD0" w:rsidRPr="00124C09" w:rsidRDefault="00A97FD0" w:rsidP="00124C09">
            <w:pPr>
              <w:spacing w:after="0" w:line="235" w:lineRule="auto"/>
              <w:jc w:val="both"/>
              <w:rPr>
                <w:sz w:val="20"/>
                <w:szCs w:val="20"/>
              </w:rPr>
            </w:pPr>
            <w:r w:rsidRPr="00124C09">
              <w:rPr>
                <w:sz w:val="20"/>
                <w:szCs w:val="20"/>
              </w:rPr>
              <w:t>Επιπλέον, σε αντίθεση με πολλές χώρες, η έκπτωση φόρου δεν εξαρτάται από την οικογενειακή κατάσταση ή την ηλικία, καθώς σε πολλές χώρες τα παιδιά και η ηλικία άνω των 65 ή και 75 ετών είναι προϋπόθεση για την απόκτηση αυξημένης, πέρα μιας χαμηλής ως προς το όριο φτώχειας, έκπτωσης φόρου. Η πραγματικότητα αυτή αντανακλάται και στο γεγονός ότι η συντριπτική πλειοψηφία των Ελλήνων φορολογούμενων, περιλαμβανομένων φυσικά των μισθωτών και συνταξιούχων, δεν καταβάλλει κανένα ή ελάχιστο φόρο εισοδήματος (</w:t>
            </w:r>
            <w:hyperlink r:id="rId9" w:history="1">
              <w:r w:rsidRPr="00124C09">
                <w:rPr>
                  <w:color w:val="0000FF"/>
                  <w:sz w:val="20"/>
                  <w:szCs w:val="20"/>
                  <w:u w:val="single"/>
                </w:rPr>
                <w:t>Δελτίο 25/2/2016</w:t>
              </w:r>
            </w:hyperlink>
            <w:r w:rsidRPr="00124C09">
              <w:rPr>
                <w:sz w:val="20"/>
                <w:szCs w:val="20"/>
              </w:rPr>
              <w:t xml:space="preserve">, </w:t>
            </w:r>
            <w:hyperlink r:id="rId10" w:history="1">
              <w:r w:rsidRPr="00124C09">
                <w:rPr>
                  <w:color w:val="0000FF"/>
                  <w:sz w:val="20"/>
                  <w:szCs w:val="20"/>
                  <w:u w:val="single"/>
                </w:rPr>
                <w:t>12/11/2015</w:t>
              </w:r>
            </w:hyperlink>
            <w:r w:rsidRPr="00124C09">
              <w:rPr>
                <w:sz w:val="20"/>
                <w:szCs w:val="20"/>
              </w:rPr>
              <w:t xml:space="preserve">). </w:t>
            </w:r>
          </w:p>
          <w:p w:rsidR="00A97FD0" w:rsidRPr="00124C09" w:rsidRDefault="00A97FD0" w:rsidP="00124C09">
            <w:pPr>
              <w:spacing w:after="0" w:line="235" w:lineRule="auto"/>
              <w:jc w:val="both"/>
              <w:rPr>
                <w:sz w:val="20"/>
                <w:szCs w:val="20"/>
              </w:rPr>
            </w:pPr>
            <w:r w:rsidRPr="00124C09">
              <w:rPr>
                <w:sz w:val="20"/>
                <w:szCs w:val="20"/>
              </w:rPr>
              <w:t xml:space="preserve">Δεύτερον, η κλίμακα φόρου εισοδήματος όπως ισχύει (Πίνακας ΑΦ1) είναι κατασκευασμένη με τέτοιο τρόπο ώστε ουσιαστικά οι μισθωτοί και συνταξιούχοι με ετήσιο εισόδημα έως €15.000 να πληρώνουν ελάχιστο ή καθόλου φόρο, και όσοι έχουν εισοδήματα έως €30.000 να πληρώνουν ένα αρκετά χαμηλό ετήσιο φόρο εισοδήματος. Αντίθετα, οι μισθωτοί και συνταξιούχοι με υψηλά εισοδήματα (άνω των €42.000) επιβαρύνονται όχι μόνο από την υψηλή πλέον σε αυτά τα κλιμάκια έκτακτη εισφορά, αλλά και τον αυξημένο συντελεστή 42% μαζί με τον μηδενισμό της επιστροφής φόρου. Σημειώνεται ότι στα υψηλότερα αυτά κλιμάκια τα εισοδήματα από συντάξεις ή μισθωτή εργασία στο δημόσιο είναι ελάχιστα, κάτι που σημαίνει ότι αυτή η αυξημένη επιβάρυνση αφορά κυρίως τους μισθωτούς στον ιδιωτικό τομέα. </w:t>
            </w:r>
          </w:p>
          <w:p w:rsidR="00A97FD0" w:rsidRPr="00124C09" w:rsidRDefault="00A97FD0" w:rsidP="00124C09">
            <w:pPr>
              <w:spacing w:after="0" w:line="235" w:lineRule="auto"/>
              <w:jc w:val="both"/>
              <w:rPr>
                <w:sz w:val="20"/>
                <w:szCs w:val="20"/>
              </w:rPr>
            </w:pPr>
            <w:r w:rsidRPr="00124C09">
              <w:rPr>
                <w:sz w:val="20"/>
                <w:szCs w:val="20"/>
              </w:rPr>
              <w:t xml:space="preserve">Έχουμε επίσης ως δεδομένο (Διάγραμμα 13) ότι οι εργαζόμενοι στη γενική κυβέρνηση είχαν το 2014 μέσες ετήσιες μικτές αποδοχές € 20.497, το 2014 το ΙΚΑ αναφέρει ως μέσες μικτές ετήσιες αποδοχές ασφαλισμένων τα €10.320  (€8.682,9 φορολογητέα δηλαδή, </w:t>
            </w:r>
            <w:hyperlink r:id="rId11" w:history="1">
              <w:r w:rsidRPr="00124C09">
                <w:rPr>
                  <w:color w:val="0000FF"/>
                  <w:sz w:val="20"/>
                  <w:szCs w:val="20"/>
                  <w:u w:val="single"/>
                </w:rPr>
                <w:t>Δελτίο 11/2/16</w:t>
              </w:r>
            </w:hyperlink>
            <w:r w:rsidRPr="00124C09">
              <w:rPr>
                <w:sz w:val="20"/>
                <w:szCs w:val="20"/>
              </w:rPr>
              <w:t xml:space="preserve">) και ότι το ετήσιο εισόδημα από τη μέση σύνταξη γήρατος ήταν το 2014 €11.379 (Στοιχεία έκθεσης ΗΛΙΟΣ). Επιπλέον, οι περίπου 470.000 (εκ των 2,6 εκατ. συνολικά) συνταξιούχοι του δημοσίου λαμβάνουν σημαντικά υψηλότερες σε σχέση με τον μέσο όρο συντάξεις (€13.000 αν διαιρεθεί η δαπάνη του κρατικού προϋπολογισμού με τον αριθμό τους, </w:t>
            </w:r>
            <w:hyperlink r:id="rId12" w:history="1">
              <w:r w:rsidRPr="00124C09">
                <w:rPr>
                  <w:color w:val="0000FF"/>
                  <w:sz w:val="20"/>
                  <w:szCs w:val="20"/>
                  <w:u w:val="single"/>
                </w:rPr>
                <w:t>Δελτίο 29/10/2015</w:t>
              </w:r>
            </w:hyperlink>
            <w:r w:rsidRPr="00124C09">
              <w:rPr>
                <w:sz w:val="20"/>
                <w:szCs w:val="20"/>
              </w:rPr>
              <w:t>) και αποτελούν σημαντικό ποσοστό των συνταξιούχων ηλικίας 50-65 ετών (το Δεκέμβριο 2014 αποτελούσαν το 24% των συντάξεων γήρατος).</w:t>
            </w:r>
          </w:p>
          <w:p w:rsidR="00A97FD0" w:rsidRPr="00124C09" w:rsidRDefault="00A97FD0" w:rsidP="00124C09">
            <w:pPr>
              <w:spacing w:after="0" w:line="235" w:lineRule="auto"/>
              <w:jc w:val="both"/>
              <w:rPr>
                <w:sz w:val="20"/>
                <w:szCs w:val="20"/>
              </w:rPr>
            </w:pPr>
            <w:r w:rsidRPr="00124C09">
              <w:rPr>
                <w:sz w:val="20"/>
                <w:szCs w:val="20"/>
              </w:rPr>
              <w:t xml:space="preserve">Βλέπουμε συνεπώς ότι η κλίμακα φόρου εισοδήματος είναι έτσι φτιαγμένη ώστε η συντριπτική πλειοψηφία των μισθωτών του δημοσίου, των συνταξιούχων και των χαμηλόμισθων του ιδιωτικού τομέα να μην πληρώνουν φόρο εισοδήματος, ενώ αντίθετα οι συντελεστές για όσους έχουν καλύτερο μισθό αυξάνονται σε υπερβολικό βαθμό. Από την άλλη, οι αγρότες και οι ελεύθεροι επαγγελματίες πληρώνουν, εκτός του ΦΠΑ και του τέλους επιτηδεύματος, φόρο από το πρώτο ευρώ, αν και με έναν συντελεστή που ειδικά για τους αγρότες (μέχρι την ώρα που γράφονται αυτές οι γραμμές) είναι λογικός. </w:t>
            </w:r>
          </w:p>
          <w:p w:rsidR="00A97FD0" w:rsidRPr="00124C09" w:rsidRDefault="00A97FD0" w:rsidP="00124C09">
            <w:pPr>
              <w:spacing w:after="0" w:line="235" w:lineRule="auto"/>
              <w:jc w:val="both"/>
              <w:rPr>
                <w:noProof/>
                <w:sz w:val="18"/>
                <w:szCs w:val="18"/>
              </w:rPr>
            </w:pPr>
            <w:r w:rsidRPr="00124C09">
              <w:rPr>
                <w:sz w:val="20"/>
                <w:szCs w:val="20"/>
              </w:rPr>
              <w:t>Η δομή αυτή του φορολογικού συστήματος, χωρίς να εξετάσουμε και τις ασφαλιστικές εισφορές,αδικεί συνεπώς την παραγωγική μισθωτή εργασία στον ιδιωτικό τομέα. Από την άλλη, η μέτριας αμοιβής και μειωμένης προσπάθειαςεργασία επιβραβεύεται. Το ζήτημα όμως δεν είναι ηθικό –για άλλη μια φορά είναι κυρίως πρακτικό, καθώς έτσι διαμορφώνονται  και τα ανάλογα κίνητρα στην κοινωνία. Με τη σειρά της αυτή ορθολογικά αποφεύγει την αριστεία και την αυξημένη προσπάθεια γεγονός που όμως αποτρέπει τη δημιουργία νέου πλούτου.</w:t>
            </w:r>
          </w:p>
        </w:tc>
        <w:tc>
          <w:tcPr>
            <w:tcW w:w="5255" w:type="dxa"/>
          </w:tcPr>
          <w:p w:rsidR="00A97FD0" w:rsidRPr="00124C09" w:rsidRDefault="00A97FD0" w:rsidP="00124C09">
            <w:pPr>
              <w:spacing w:after="0" w:line="240" w:lineRule="auto"/>
              <w:rPr>
                <w:color w:val="7030A0"/>
                <w:sz w:val="20"/>
                <w:szCs w:val="20"/>
              </w:rPr>
            </w:pPr>
            <w:r w:rsidRPr="00124C09">
              <w:rPr>
                <w:b/>
                <w:bCs/>
                <w:color w:val="7030A0"/>
                <w:sz w:val="20"/>
                <w:szCs w:val="20"/>
                <w:u w:val="single"/>
              </w:rPr>
              <w:t>Διάγραμμα 1</w:t>
            </w:r>
            <w:r w:rsidRPr="00124C09">
              <w:rPr>
                <w:color w:val="7030A0"/>
                <w:sz w:val="20"/>
                <w:szCs w:val="20"/>
              </w:rPr>
              <w:t xml:space="preserve">: </w:t>
            </w:r>
            <w:r w:rsidRPr="00124C09">
              <w:rPr>
                <w:b/>
                <w:bCs/>
                <w:color w:val="7030A0"/>
                <w:sz w:val="20"/>
                <w:szCs w:val="20"/>
              </w:rPr>
              <w:t>Διαθέσιμο εισόδημα και τελική κατανάλωση νοικοκυριών</w:t>
            </w:r>
          </w:p>
          <w:p w:rsidR="00A97FD0" w:rsidRPr="00124C09" w:rsidRDefault="00A97FD0" w:rsidP="00124C09">
            <w:pPr>
              <w:spacing w:after="0" w:line="240" w:lineRule="auto"/>
              <w:rPr>
                <w:color w:val="7030A0"/>
                <w:sz w:val="18"/>
                <w:szCs w:val="18"/>
              </w:rPr>
            </w:pPr>
            <w:r w:rsidRPr="00124C09">
              <w:rPr>
                <w:color w:val="7030A0"/>
                <w:sz w:val="18"/>
                <w:szCs w:val="18"/>
              </w:rPr>
              <w:t>(ΕΛΣΤΑΤ, Μη Χρηματοοικονομικοί Λογαριασμοί Θεσμικών Τομέων, 2014)</w:t>
            </w:r>
          </w:p>
          <w:p w:rsidR="00A97FD0" w:rsidRPr="00124C09" w:rsidRDefault="00A97FD0" w:rsidP="00124C09">
            <w:pPr>
              <w:spacing w:after="0" w:line="240" w:lineRule="auto"/>
            </w:pPr>
            <w:r w:rsidRPr="00124C09">
              <w:rPr>
                <w:noProof/>
                <w:lang w:val="en-US"/>
              </w:rPr>
              <w:pict>
                <v:shape id="Picture 68" o:spid="_x0000_i1026" type="#_x0000_t75" style="width:255pt;height:166.5pt;visibility:visible">
                  <v:imagedata r:id="rId13" o:title=""/>
                </v:shape>
              </w:pict>
            </w:r>
          </w:p>
          <w:p w:rsidR="00A97FD0" w:rsidRPr="00124C09" w:rsidRDefault="00A97FD0" w:rsidP="00124C09">
            <w:pPr>
              <w:spacing w:after="0" w:line="240" w:lineRule="auto"/>
              <w:rPr>
                <w:color w:val="7030A0"/>
                <w:sz w:val="18"/>
                <w:szCs w:val="18"/>
              </w:rPr>
            </w:pPr>
            <w:r w:rsidRPr="00124C09">
              <w:rPr>
                <w:color w:val="7030A0"/>
                <w:sz w:val="18"/>
                <w:szCs w:val="18"/>
              </w:rPr>
              <w:t>* περιλαμβάνονται οι τρέχουσες μεταβιβάσεις σε είδος</w:t>
            </w:r>
          </w:p>
          <w:p w:rsidR="00A97FD0" w:rsidRPr="00124C09" w:rsidRDefault="00A97FD0" w:rsidP="00124C09">
            <w:pPr>
              <w:spacing w:after="0" w:line="240" w:lineRule="auto"/>
            </w:pPr>
          </w:p>
          <w:p w:rsidR="00A97FD0" w:rsidRPr="00124C09" w:rsidRDefault="00A97FD0" w:rsidP="00124C09">
            <w:pPr>
              <w:spacing w:after="0" w:line="240" w:lineRule="auto"/>
              <w:rPr>
                <w:color w:val="7030A0"/>
                <w:sz w:val="20"/>
                <w:szCs w:val="20"/>
              </w:rPr>
            </w:pPr>
            <w:r w:rsidRPr="00124C09">
              <w:rPr>
                <w:b/>
                <w:bCs/>
                <w:color w:val="7030A0"/>
                <w:sz w:val="20"/>
                <w:szCs w:val="20"/>
                <w:u w:val="single"/>
              </w:rPr>
              <w:t>Διάγραμμα 2</w:t>
            </w:r>
            <w:r w:rsidRPr="00124C09">
              <w:rPr>
                <w:color w:val="7030A0"/>
                <w:sz w:val="20"/>
                <w:szCs w:val="20"/>
              </w:rPr>
              <w:t xml:space="preserve">: </w:t>
            </w:r>
            <w:r w:rsidRPr="00124C09">
              <w:rPr>
                <w:b/>
                <w:bCs/>
                <w:color w:val="7030A0"/>
                <w:sz w:val="20"/>
                <w:szCs w:val="20"/>
              </w:rPr>
              <w:t>Καθαρή χορήγηση / καθαρή λήψη δανείων</w:t>
            </w:r>
          </w:p>
          <w:p w:rsidR="00A97FD0" w:rsidRPr="00124C09" w:rsidRDefault="00A97FD0" w:rsidP="00124C09">
            <w:pPr>
              <w:spacing w:after="0" w:line="240" w:lineRule="auto"/>
              <w:rPr>
                <w:color w:val="7030A0"/>
                <w:sz w:val="18"/>
                <w:szCs w:val="18"/>
              </w:rPr>
            </w:pPr>
            <w:r w:rsidRPr="00124C09">
              <w:rPr>
                <w:color w:val="7030A0"/>
                <w:sz w:val="18"/>
                <w:szCs w:val="18"/>
              </w:rPr>
              <w:t>(ΕΛΣΤΑΤ, Μη Χρηματοοικονομικοί Λογαριασμοί Θεσμικών Τομέων, 2014)</w:t>
            </w:r>
          </w:p>
          <w:p w:rsidR="00A97FD0" w:rsidRPr="00124C09" w:rsidRDefault="00A97FD0" w:rsidP="00124C09">
            <w:pPr>
              <w:spacing w:after="0" w:line="240" w:lineRule="auto"/>
            </w:pPr>
            <w:r w:rsidRPr="00124C09">
              <w:rPr>
                <w:noProof/>
                <w:lang w:val="en-US"/>
              </w:rPr>
              <w:pict>
                <v:shape id="Picture 67" o:spid="_x0000_i1027" type="#_x0000_t75" style="width:255pt;height:166.5pt;visibility:visible">
                  <v:imagedata r:id="rId14" o:title=""/>
                </v:shape>
              </w:pict>
            </w:r>
          </w:p>
          <w:p w:rsidR="00A97FD0" w:rsidRPr="00124C09" w:rsidRDefault="00A97FD0" w:rsidP="00124C09">
            <w:pPr>
              <w:spacing w:after="0" w:line="240" w:lineRule="auto"/>
            </w:pPr>
          </w:p>
          <w:p w:rsidR="00A97FD0" w:rsidRPr="00124C09" w:rsidRDefault="00A97FD0" w:rsidP="00124C09">
            <w:pPr>
              <w:spacing w:after="0" w:line="240" w:lineRule="auto"/>
              <w:rPr>
                <w:color w:val="7030A0"/>
                <w:sz w:val="20"/>
                <w:szCs w:val="20"/>
              </w:rPr>
            </w:pPr>
            <w:r w:rsidRPr="00124C09">
              <w:rPr>
                <w:b/>
                <w:bCs/>
                <w:color w:val="7030A0"/>
                <w:sz w:val="20"/>
                <w:szCs w:val="20"/>
                <w:u w:val="single"/>
              </w:rPr>
              <w:t>Διάγραμμα 3</w:t>
            </w:r>
            <w:r w:rsidRPr="00124C09">
              <w:rPr>
                <w:color w:val="7030A0"/>
                <w:sz w:val="20"/>
                <w:szCs w:val="20"/>
              </w:rPr>
              <w:t xml:space="preserve">: </w:t>
            </w:r>
            <w:r w:rsidRPr="00124C09">
              <w:rPr>
                <w:b/>
                <w:bCs/>
                <w:color w:val="7030A0"/>
                <w:sz w:val="20"/>
                <w:szCs w:val="20"/>
              </w:rPr>
              <w:t>Ποσοστό ακαθάριστης αποταμίευσης νοικοκυριών</w:t>
            </w:r>
          </w:p>
          <w:p w:rsidR="00A97FD0" w:rsidRPr="00124C09" w:rsidRDefault="00A97FD0" w:rsidP="00124C09">
            <w:pPr>
              <w:spacing w:after="0" w:line="240" w:lineRule="auto"/>
              <w:rPr>
                <w:color w:val="7030A0"/>
                <w:sz w:val="18"/>
                <w:szCs w:val="18"/>
              </w:rPr>
            </w:pPr>
            <w:r w:rsidRPr="00124C09">
              <w:rPr>
                <w:color w:val="7030A0"/>
                <w:sz w:val="18"/>
                <w:szCs w:val="18"/>
              </w:rPr>
              <w:t>(AMECO και ΕΛΣΤΑΤ, Μη Χρηματοοικονομικοί Λογαριασμοί Θεσμικών Τομέων, 2014)</w:t>
            </w:r>
          </w:p>
          <w:p w:rsidR="00A97FD0" w:rsidRPr="00124C09" w:rsidRDefault="00A97FD0" w:rsidP="00124C09">
            <w:pPr>
              <w:spacing w:after="0" w:line="240" w:lineRule="auto"/>
            </w:pPr>
            <w:r w:rsidRPr="00124C09">
              <w:rPr>
                <w:noProof/>
                <w:lang w:val="en-US"/>
              </w:rPr>
              <w:pict>
                <v:shape id="Picture 66" o:spid="_x0000_i1028" type="#_x0000_t75" style="width:255pt;height:166.5pt;visibility:visible">
                  <v:imagedata r:id="rId15" o:title=""/>
                </v:shape>
              </w:pict>
            </w:r>
          </w:p>
          <w:p w:rsidR="00A97FD0" w:rsidRPr="00124C09" w:rsidRDefault="00A97FD0" w:rsidP="00124C09">
            <w:pPr>
              <w:spacing w:after="0" w:line="240" w:lineRule="auto"/>
            </w:pPr>
          </w:p>
          <w:p w:rsidR="00A97FD0" w:rsidRPr="00124C09" w:rsidRDefault="00A97FD0" w:rsidP="00124C09">
            <w:pPr>
              <w:spacing w:after="0" w:line="240" w:lineRule="auto"/>
              <w:rPr>
                <w:b/>
                <w:bCs/>
                <w:color w:val="7030A0"/>
                <w:sz w:val="20"/>
                <w:szCs w:val="20"/>
                <w:u w:val="single"/>
              </w:rPr>
            </w:pPr>
          </w:p>
          <w:p w:rsidR="00A97FD0" w:rsidRPr="00124C09" w:rsidRDefault="00A97FD0" w:rsidP="00124C09">
            <w:pPr>
              <w:spacing w:after="0" w:line="240" w:lineRule="auto"/>
              <w:rPr>
                <w:b/>
                <w:color w:val="7030A0"/>
                <w:sz w:val="20"/>
                <w:szCs w:val="20"/>
              </w:rPr>
            </w:pPr>
            <w:r w:rsidRPr="00124C09">
              <w:rPr>
                <w:b/>
                <w:bCs/>
                <w:color w:val="7030A0"/>
                <w:sz w:val="20"/>
                <w:szCs w:val="20"/>
                <w:u w:val="single"/>
              </w:rPr>
              <w:t>Διάγραμμα 4</w:t>
            </w:r>
            <w:r w:rsidRPr="00124C09">
              <w:rPr>
                <w:color w:val="7030A0"/>
                <w:sz w:val="20"/>
                <w:szCs w:val="20"/>
              </w:rPr>
              <w:t xml:space="preserve">: </w:t>
            </w:r>
            <w:r w:rsidRPr="00124C09">
              <w:rPr>
                <w:b/>
                <w:color w:val="7030A0"/>
                <w:sz w:val="20"/>
                <w:szCs w:val="20"/>
              </w:rPr>
              <w:t>Τι πληρώνουν τα νοικοκυριά σε φόρους και εισφορές ως ποσοστό τους εισοδήματός τους</w:t>
            </w:r>
          </w:p>
          <w:p w:rsidR="00A97FD0" w:rsidRPr="00124C09" w:rsidRDefault="00A97FD0" w:rsidP="00124C09">
            <w:pPr>
              <w:spacing w:after="0" w:line="240" w:lineRule="auto"/>
              <w:rPr>
                <w:color w:val="7030A0"/>
                <w:sz w:val="18"/>
                <w:szCs w:val="18"/>
              </w:rPr>
            </w:pPr>
            <w:r w:rsidRPr="00124C09">
              <w:rPr>
                <w:color w:val="7030A0"/>
                <w:sz w:val="18"/>
                <w:szCs w:val="18"/>
              </w:rPr>
              <w:t>(AMECO &amp; ΕΛΣΤΑΤ, Μη Χρηματοοικονομικοί Λογαριασμοί Θεσμικών Τομέων, 2014)</w:t>
            </w:r>
          </w:p>
          <w:p w:rsidR="00A97FD0" w:rsidRPr="00124C09" w:rsidRDefault="00A97FD0" w:rsidP="00124C09">
            <w:pPr>
              <w:spacing w:after="0" w:line="240" w:lineRule="auto"/>
              <w:rPr>
                <w:color w:val="7030A0"/>
                <w:sz w:val="18"/>
                <w:szCs w:val="18"/>
              </w:rPr>
            </w:pPr>
            <w:r w:rsidRPr="00124C09">
              <w:rPr>
                <w:noProof/>
                <w:color w:val="7030A0"/>
                <w:sz w:val="18"/>
                <w:szCs w:val="18"/>
                <w:lang w:val="en-US"/>
              </w:rPr>
              <w:pict>
                <v:shape id="Picture 17" o:spid="_x0000_i1029" type="#_x0000_t75" style="width:255pt;height:166.5pt;visibility:visible">
                  <v:imagedata r:id="rId16" o:title=""/>
                </v:shape>
              </w:pict>
            </w:r>
          </w:p>
          <w:p w:rsidR="00A97FD0" w:rsidRPr="00124C09" w:rsidRDefault="00A97FD0" w:rsidP="00124C09">
            <w:pPr>
              <w:spacing w:after="0" w:line="240" w:lineRule="auto"/>
            </w:pPr>
          </w:p>
          <w:p w:rsidR="00A97FD0" w:rsidRPr="00124C09" w:rsidRDefault="00A97FD0" w:rsidP="00124C09">
            <w:pPr>
              <w:spacing w:after="0" w:line="240" w:lineRule="auto"/>
            </w:pPr>
          </w:p>
          <w:p w:rsidR="00A97FD0" w:rsidRPr="00124C09" w:rsidRDefault="00A97FD0" w:rsidP="00124C09">
            <w:pPr>
              <w:spacing w:after="0" w:line="240" w:lineRule="auto"/>
              <w:rPr>
                <w:color w:val="7030A0"/>
                <w:sz w:val="20"/>
                <w:szCs w:val="20"/>
              </w:rPr>
            </w:pPr>
            <w:r w:rsidRPr="00124C09">
              <w:rPr>
                <w:b/>
                <w:bCs/>
                <w:color w:val="7030A0"/>
                <w:sz w:val="20"/>
                <w:szCs w:val="20"/>
                <w:u w:val="single"/>
              </w:rPr>
              <w:t>Διάγραμμα 5</w:t>
            </w:r>
            <w:r w:rsidRPr="00124C09">
              <w:rPr>
                <w:color w:val="7030A0"/>
                <w:sz w:val="20"/>
                <w:szCs w:val="20"/>
              </w:rPr>
              <w:t xml:space="preserve">: </w:t>
            </w:r>
            <w:r w:rsidRPr="00124C09">
              <w:rPr>
                <w:b/>
                <w:bCs/>
                <w:color w:val="7030A0"/>
                <w:sz w:val="20"/>
                <w:szCs w:val="20"/>
              </w:rPr>
              <w:t>Σύνθεση συνολικού προ φόρων και εισφορών εισοδήματος νοικοκυριών</w:t>
            </w:r>
          </w:p>
          <w:p w:rsidR="00A97FD0" w:rsidRPr="00124C09" w:rsidRDefault="00A97FD0" w:rsidP="00124C09">
            <w:pPr>
              <w:spacing w:after="0" w:line="240" w:lineRule="auto"/>
              <w:rPr>
                <w:color w:val="7030A0"/>
                <w:sz w:val="18"/>
                <w:szCs w:val="18"/>
              </w:rPr>
            </w:pPr>
            <w:r w:rsidRPr="00124C09">
              <w:rPr>
                <w:color w:val="7030A0"/>
                <w:sz w:val="18"/>
                <w:szCs w:val="18"/>
              </w:rPr>
              <w:t>(ΕΛΣΤΑΤ, Μη Χρηματοοικονομικοί Λογαριασμοί Θεσμικών Τομέων, 2014)</w:t>
            </w:r>
          </w:p>
          <w:p w:rsidR="00A97FD0" w:rsidRPr="00124C09" w:rsidRDefault="00A97FD0" w:rsidP="00124C09">
            <w:pPr>
              <w:spacing w:after="0" w:line="240" w:lineRule="auto"/>
              <w:rPr>
                <w:color w:val="7030A0"/>
                <w:sz w:val="18"/>
                <w:szCs w:val="18"/>
              </w:rPr>
            </w:pPr>
            <w:r w:rsidRPr="00124C09">
              <w:rPr>
                <w:noProof/>
                <w:color w:val="7030A0"/>
                <w:sz w:val="18"/>
                <w:szCs w:val="18"/>
                <w:lang w:val="en-US"/>
              </w:rPr>
              <w:pict>
                <v:shape id="Picture 31" o:spid="_x0000_i1030" type="#_x0000_t75" style="width:255pt;height:166.5pt;visibility:visible">
                  <v:imagedata r:id="rId17" o:title=""/>
                </v:shape>
              </w:pict>
            </w:r>
          </w:p>
          <w:p w:rsidR="00A97FD0" w:rsidRPr="00124C09" w:rsidRDefault="00A97FD0" w:rsidP="00124C09">
            <w:pPr>
              <w:spacing w:after="0" w:line="240" w:lineRule="auto"/>
              <w:rPr>
                <w:color w:val="7030A0"/>
                <w:sz w:val="18"/>
                <w:szCs w:val="18"/>
              </w:rPr>
            </w:pPr>
          </w:p>
          <w:p w:rsidR="00A97FD0" w:rsidRPr="00124C09" w:rsidRDefault="00A97FD0" w:rsidP="00124C09">
            <w:pPr>
              <w:spacing w:after="0" w:line="240" w:lineRule="auto"/>
              <w:rPr>
                <w:color w:val="7030A0"/>
                <w:sz w:val="20"/>
                <w:szCs w:val="20"/>
              </w:rPr>
            </w:pPr>
            <w:r w:rsidRPr="00124C09">
              <w:rPr>
                <w:b/>
                <w:bCs/>
                <w:color w:val="7030A0"/>
                <w:sz w:val="20"/>
                <w:szCs w:val="20"/>
                <w:u w:val="single"/>
              </w:rPr>
              <w:t>Διάγραμμα 6</w:t>
            </w:r>
            <w:r w:rsidRPr="00124C09">
              <w:rPr>
                <w:color w:val="7030A0"/>
                <w:sz w:val="20"/>
                <w:szCs w:val="20"/>
              </w:rPr>
              <w:t xml:space="preserve">: </w:t>
            </w:r>
            <w:r w:rsidRPr="00124C09">
              <w:rPr>
                <w:b/>
                <w:bCs/>
                <w:color w:val="7030A0"/>
                <w:sz w:val="20"/>
                <w:szCs w:val="20"/>
              </w:rPr>
              <w:t>Φόροι και κοινωνικές εισφορές ως % του διαθέσιμου συνολικού εισοδήματος των νοικοκυριών</w:t>
            </w:r>
          </w:p>
          <w:p w:rsidR="00A97FD0" w:rsidRPr="00124C09" w:rsidRDefault="00A97FD0" w:rsidP="00124C09">
            <w:pPr>
              <w:spacing w:after="0" w:line="240" w:lineRule="auto"/>
            </w:pPr>
            <w:r w:rsidRPr="00124C09">
              <w:rPr>
                <w:color w:val="7030A0"/>
                <w:sz w:val="18"/>
                <w:szCs w:val="18"/>
              </w:rPr>
              <w:t>(</w:t>
            </w:r>
            <w:r w:rsidRPr="00124C09">
              <w:rPr>
                <w:color w:val="7030A0"/>
                <w:sz w:val="18"/>
                <w:szCs w:val="18"/>
                <w:lang w:val="en-US"/>
              </w:rPr>
              <w:t>AMECO</w:t>
            </w:r>
            <w:r w:rsidRPr="00124C09">
              <w:rPr>
                <w:color w:val="7030A0"/>
                <w:sz w:val="18"/>
                <w:szCs w:val="18"/>
              </w:rPr>
              <w:t>και ΕΛΣΤΑΤ, Μη Χρηματοοικονομικοί Λογαριασμοί Θεσμικών Τομέων, 2014)</w:t>
            </w:r>
          </w:p>
          <w:p w:rsidR="00A97FD0" w:rsidRPr="00124C09" w:rsidRDefault="00A97FD0" w:rsidP="00124C09">
            <w:pPr>
              <w:spacing w:after="0" w:line="240" w:lineRule="auto"/>
            </w:pPr>
            <w:r w:rsidRPr="00124C09">
              <w:rPr>
                <w:noProof/>
                <w:lang w:val="en-US"/>
              </w:rPr>
              <w:pict>
                <v:shape id="Picture 64" o:spid="_x0000_i1031" type="#_x0000_t75" style="width:255pt;height:167.25pt;visibility:visible">
                  <v:imagedata r:id="rId18" o:title=""/>
                </v:shape>
              </w:pict>
            </w:r>
          </w:p>
          <w:p w:rsidR="00A97FD0" w:rsidRPr="00124C09" w:rsidRDefault="00A97FD0" w:rsidP="00124C09">
            <w:pPr>
              <w:spacing w:after="0" w:line="240" w:lineRule="auto"/>
              <w:rPr>
                <w:b/>
                <w:bCs/>
                <w:color w:val="7030A0"/>
                <w:sz w:val="20"/>
                <w:szCs w:val="20"/>
                <w:u w:val="single"/>
              </w:rPr>
            </w:pPr>
          </w:p>
          <w:p w:rsidR="00A97FD0" w:rsidRPr="00124C09" w:rsidRDefault="00A97FD0" w:rsidP="00124C09">
            <w:pPr>
              <w:spacing w:after="0" w:line="240" w:lineRule="auto"/>
              <w:rPr>
                <w:b/>
                <w:bCs/>
                <w:color w:val="7030A0"/>
                <w:sz w:val="20"/>
                <w:szCs w:val="20"/>
                <w:u w:val="single"/>
              </w:rPr>
            </w:pPr>
          </w:p>
          <w:p w:rsidR="00A97FD0" w:rsidRPr="00124C09" w:rsidRDefault="00A97FD0" w:rsidP="00124C09">
            <w:pPr>
              <w:spacing w:after="0" w:line="240" w:lineRule="auto"/>
            </w:pPr>
            <w:r w:rsidRPr="00124C09">
              <w:rPr>
                <w:b/>
                <w:bCs/>
                <w:color w:val="7030A0"/>
                <w:sz w:val="20"/>
                <w:szCs w:val="20"/>
                <w:u w:val="single"/>
              </w:rPr>
              <w:t>Διάγραμμα 7</w:t>
            </w:r>
            <w:r w:rsidRPr="00124C09">
              <w:rPr>
                <w:color w:val="7030A0"/>
                <w:sz w:val="20"/>
                <w:szCs w:val="20"/>
              </w:rPr>
              <w:t xml:space="preserve">: </w:t>
            </w:r>
            <w:r w:rsidRPr="00124C09">
              <w:rPr>
                <w:b/>
                <w:bCs/>
                <w:color w:val="7030A0"/>
                <w:sz w:val="20"/>
                <w:szCs w:val="20"/>
              </w:rPr>
              <w:t>Επιβάρυνση νοικοκυριών και πραγματική μεταβολή ΑΕΠ</w:t>
            </w:r>
            <w:r w:rsidRPr="00124C09">
              <w:rPr>
                <w:color w:val="7030A0"/>
                <w:sz w:val="18"/>
                <w:szCs w:val="18"/>
              </w:rPr>
              <w:t>(</w:t>
            </w:r>
            <w:r w:rsidRPr="00124C09">
              <w:rPr>
                <w:color w:val="7030A0"/>
                <w:sz w:val="18"/>
                <w:szCs w:val="18"/>
                <w:lang w:val="en-US"/>
              </w:rPr>
              <w:t>AMECO</w:t>
            </w:r>
            <w:r w:rsidRPr="00124C09">
              <w:rPr>
                <w:color w:val="7030A0"/>
                <w:sz w:val="18"/>
                <w:szCs w:val="18"/>
              </w:rPr>
              <w:t>και ΕΛΣΤΑΤ, Μη Χρηματοοικονομικοί Λογαριασμοί Θεσμικών Τομέων, 2014)</w:t>
            </w:r>
          </w:p>
          <w:p w:rsidR="00A97FD0" w:rsidRPr="00124C09" w:rsidRDefault="00A97FD0" w:rsidP="00124C09">
            <w:pPr>
              <w:spacing w:after="0" w:line="240" w:lineRule="auto"/>
            </w:pPr>
            <w:r w:rsidRPr="00124C09">
              <w:rPr>
                <w:noProof/>
                <w:lang w:val="en-US"/>
              </w:rPr>
              <w:pict>
                <v:shape id="Picture 14" o:spid="_x0000_i1032" type="#_x0000_t75" style="width:255pt;height:166.5pt;visibility:visible">
                  <v:imagedata r:id="rId19" o:title=""/>
                </v:shape>
              </w:pict>
            </w:r>
          </w:p>
          <w:p w:rsidR="00A97FD0" w:rsidRPr="00124C09" w:rsidRDefault="00A97FD0" w:rsidP="00124C09">
            <w:pPr>
              <w:spacing w:after="0" w:line="240" w:lineRule="auto"/>
              <w:rPr>
                <w:b/>
                <w:bCs/>
                <w:color w:val="7030A0"/>
                <w:sz w:val="20"/>
                <w:szCs w:val="20"/>
                <w:lang w:val="en-US"/>
              </w:rPr>
            </w:pPr>
          </w:p>
          <w:p w:rsidR="00A97FD0" w:rsidRPr="00124C09" w:rsidRDefault="00A97FD0" w:rsidP="00124C09">
            <w:pPr>
              <w:spacing w:after="0" w:line="240" w:lineRule="auto"/>
              <w:rPr>
                <w:b/>
                <w:bCs/>
                <w:color w:val="7030A0"/>
                <w:sz w:val="20"/>
                <w:szCs w:val="20"/>
                <w:lang w:val="en-US"/>
              </w:rPr>
            </w:pPr>
          </w:p>
          <w:p w:rsidR="00A97FD0" w:rsidRPr="00124C09" w:rsidRDefault="00A97FD0" w:rsidP="00124C09">
            <w:pPr>
              <w:spacing w:after="0" w:line="240" w:lineRule="auto"/>
              <w:rPr>
                <w:b/>
                <w:bCs/>
                <w:color w:val="7030A0"/>
                <w:sz w:val="20"/>
                <w:szCs w:val="20"/>
              </w:rPr>
            </w:pPr>
            <w:r w:rsidRPr="00124C09">
              <w:rPr>
                <w:b/>
                <w:bCs/>
                <w:color w:val="7030A0"/>
                <w:sz w:val="20"/>
                <w:szCs w:val="20"/>
                <w:u w:val="single"/>
              </w:rPr>
              <w:t>Διάγραμμα 8</w:t>
            </w:r>
            <w:r w:rsidRPr="00124C09">
              <w:rPr>
                <w:b/>
                <w:bCs/>
                <w:color w:val="7030A0"/>
                <w:sz w:val="20"/>
                <w:szCs w:val="20"/>
              </w:rPr>
              <w:t>: Δείκτης βιομηχανικής παραγωγής και επιχειρηματικές προσδοκίες στη βιομηχανία</w:t>
            </w:r>
          </w:p>
          <w:p w:rsidR="00A97FD0" w:rsidRPr="00124C09" w:rsidRDefault="00A97FD0" w:rsidP="00124C09">
            <w:pPr>
              <w:spacing w:after="0" w:line="240" w:lineRule="auto"/>
              <w:rPr>
                <w:b/>
                <w:bCs/>
                <w:color w:val="7030A0"/>
                <w:sz w:val="18"/>
                <w:szCs w:val="18"/>
                <w:u w:val="single"/>
              </w:rPr>
            </w:pPr>
            <w:r w:rsidRPr="00124C09">
              <w:rPr>
                <w:color w:val="7030A0"/>
                <w:sz w:val="18"/>
                <w:szCs w:val="18"/>
              </w:rPr>
              <w:t>(ΕΛΣΤΑΤ, Ιαν. 2016, ΙΟΒΕ, Φεβ. 2016)</w:t>
            </w:r>
          </w:p>
          <w:p w:rsidR="00A97FD0" w:rsidRPr="00124C09" w:rsidRDefault="00A97FD0" w:rsidP="00124C09">
            <w:pPr>
              <w:spacing w:after="0" w:line="240" w:lineRule="auto"/>
            </w:pPr>
            <w:r w:rsidRPr="00124C09">
              <w:rPr>
                <w:noProof/>
                <w:lang w:val="en-US"/>
              </w:rPr>
              <w:pict>
                <v:shape id="Picture 26" o:spid="_x0000_i1033" type="#_x0000_t75" style="width:255pt;height:166.5pt;visibility:visible">
                  <v:imagedata r:id="rId20" o:title=""/>
                </v:shape>
              </w:pict>
            </w:r>
          </w:p>
          <w:p w:rsidR="00A97FD0" w:rsidRPr="00124C09" w:rsidRDefault="00A97FD0" w:rsidP="00124C09">
            <w:pPr>
              <w:spacing w:after="0" w:line="240" w:lineRule="auto"/>
              <w:rPr>
                <w:b/>
                <w:bCs/>
                <w:color w:val="7030A0"/>
                <w:sz w:val="18"/>
                <w:szCs w:val="18"/>
                <w:u w:val="single"/>
                <w:lang w:val="en-US"/>
              </w:rPr>
            </w:pPr>
          </w:p>
          <w:p w:rsidR="00A97FD0" w:rsidRPr="00124C09" w:rsidRDefault="00A97FD0" w:rsidP="00124C09">
            <w:pPr>
              <w:spacing w:after="0" w:line="240" w:lineRule="auto"/>
              <w:rPr>
                <w:b/>
                <w:bCs/>
                <w:color w:val="7030A0"/>
                <w:sz w:val="18"/>
                <w:szCs w:val="18"/>
                <w:u w:val="single"/>
                <w:lang w:val="en-US"/>
              </w:rPr>
            </w:pPr>
          </w:p>
          <w:p w:rsidR="00A97FD0" w:rsidRPr="00124C09" w:rsidRDefault="00A97FD0" w:rsidP="00124C09">
            <w:pPr>
              <w:spacing w:after="0" w:line="240" w:lineRule="auto"/>
              <w:rPr>
                <w:b/>
                <w:bCs/>
                <w:color w:val="7030A0"/>
                <w:sz w:val="20"/>
                <w:szCs w:val="20"/>
              </w:rPr>
            </w:pPr>
            <w:r w:rsidRPr="00124C09">
              <w:rPr>
                <w:b/>
                <w:bCs/>
                <w:color w:val="7030A0"/>
                <w:sz w:val="20"/>
                <w:szCs w:val="20"/>
                <w:u w:val="single"/>
              </w:rPr>
              <w:t>Διάγραμμα 9</w:t>
            </w:r>
            <w:r w:rsidRPr="00124C09">
              <w:rPr>
                <w:b/>
                <w:bCs/>
                <w:color w:val="7030A0"/>
                <w:sz w:val="20"/>
                <w:szCs w:val="20"/>
              </w:rPr>
              <w:t>: Αριθμός ανέργων και % μεταβολή με αντίστοιχο μήνα προηγούμενου έτους</w:t>
            </w:r>
          </w:p>
          <w:p w:rsidR="00A97FD0" w:rsidRPr="00124C09" w:rsidRDefault="00A97FD0" w:rsidP="00124C09">
            <w:pPr>
              <w:spacing w:after="0" w:line="240" w:lineRule="auto"/>
            </w:pPr>
            <w:r w:rsidRPr="00124C09">
              <w:rPr>
                <w:color w:val="7030A0"/>
                <w:sz w:val="18"/>
                <w:szCs w:val="18"/>
              </w:rPr>
              <w:t>(ΕΛΣΤΑΤ, Δεκ. 2015)</w:t>
            </w:r>
          </w:p>
          <w:p w:rsidR="00A97FD0" w:rsidRPr="00124C09" w:rsidRDefault="00A97FD0" w:rsidP="00124C09">
            <w:pPr>
              <w:spacing w:after="0" w:line="240" w:lineRule="auto"/>
              <w:rPr>
                <w:rFonts w:ascii="Arial" w:hAnsi="Arial" w:cs="Arial"/>
                <w:b/>
                <w:bCs/>
                <w:color w:val="003399"/>
                <w:sz w:val="18"/>
                <w:szCs w:val="18"/>
                <w:lang w:eastAsia="el-GR"/>
              </w:rPr>
            </w:pPr>
            <w:r w:rsidRPr="00124C09">
              <w:rPr>
                <w:rFonts w:ascii="Arial" w:hAnsi="Arial" w:cs="Arial"/>
                <w:b/>
                <w:noProof/>
                <w:color w:val="003399"/>
                <w:sz w:val="18"/>
                <w:szCs w:val="18"/>
                <w:lang w:val="en-US"/>
              </w:rPr>
              <w:pict>
                <v:shape id="Picture 71" o:spid="_x0000_i1034" type="#_x0000_t75" style="width:255pt;height:166.5pt;visibility:visible">
                  <v:imagedata r:id="rId21" o:title=""/>
                </v:shape>
              </w:pict>
            </w:r>
          </w:p>
          <w:p w:rsidR="00A97FD0" w:rsidRPr="00124C09" w:rsidRDefault="00A97FD0" w:rsidP="00124C09">
            <w:pPr>
              <w:spacing w:after="0" w:line="240" w:lineRule="auto"/>
              <w:rPr>
                <w:b/>
                <w:bCs/>
                <w:color w:val="7030A0"/>
                <w:sz w:val="18"/>
                <w:szCs w:val="18"/>
                <w:u w:val="single"/>
              </w:rPr>
            </w:pPr>
          </w:p>
          <w:p w:rsidR="00A97FD0" w:rsidRPr="00124C09" w:rsidRDefault="00A97FD0" w:rsidP="00124C09">
            <w:pPr>
              <w:spacing w:after="0" w:line="240" w:lineRule="auto"/>
              <w:rPr>
                <w:b/>
                <w:bCs/>
                <w:color w:val="7030A0"/>
                <w:sz w:val="18"/>
                <w:szCs w:val="18"/>
                <w:u w:val="single"/>
                <w:lang w:val="en-US"/>
              </w:rPr>
            </w:pPr>
          </w:p>
          <w:p w:rsidR="00A97FD0" w:rsidRPr="00124C09" w:rsidRDefault="00A97FD0" w:rsidP="00124C09">
            <w:pPr>
              <w:spacing w:after="0" w:line="240" w:lineRule="auto"/>
              <w:rPr>
                <w:b/>
                <w:bCs/>
                <w:color w:val="7030A0"/>
                <w:sz w:val="18"/>
                <w:szCs w:val="18"/>
                <w:u w:val="single"/>
                <w:lang w:val="en-US"/>
              </w:rPr>
            </w:pPr>
          </w:p>
          <w:p w:rsidR="00A97FD0" w:rsidRPr="00124C09" w:rsidRDefault="00A97FD0" w:rsidP="00124C09">
            <w:pPr>
              <w:spacing w:after="0" w:line="240" w:lineRule="auto"/>
              <w:rPr>
                <w:b/>
                <w:bCs/>
                <w:color w:val="7030A0"/>
                <w:sz w:val="20"/>
                <w:szCs w:val="20"/>
              </w:rPr>
            </w:pPr>
            <w:r w:rsidRPr="00124C09">
              <w:rPr>
                <w:b/>
                <w:bCs/>
                <w:color w:val="7030A0"/>
                <w:sz w:val="20"/>
                <w:szCs w:val="20"/>
                <w:u w:val="single"/>
              </w:rPr>
              <w:t>Διάγραμμα 10</w:t>
            </w:r>
            <w:r w:rsidRPr="00124C09">
              <w:rPr>
                <w:b/>
                <w:bCs/>
                <w:color w:val="7030A0"/>
                <w:sz w:val="20"/>
                <w:szCs w:val="20"/>
              </w:rPr>
              <w:t>: Εναρμονισμένος δείκτης τιμών καταναλωτή, πυρήνας πληθωρισμού και εναρμονισμένος δείκτης τιμών καταναλωτή με σταθερούς φόρους</w:t>
            </w:r>
          </w:p>
          <w:p w:rsidR="00A97FD0" w:rsidRPr="00124C09" w:rsidRDefault="00A97FD0" w:rsidP="00124C09">
            <w:pPr>
              <w:spacing w:after="0" w:line="240" w:lineRule="auto"/>
            </w:pPr>
            <w:r w:rsidRPr="00124C09">
              <w:rPr>
                <w:color w:val="7030A0"/>
                <w:sz w:val="18"/>
                <w:szCs w:val="18"/>
              </w:rPr>
              <w:t xml:space="preserve">(ΕΛΣΤΑΤ, Φεβ. 2016, </w:t>
            </w:r>
            <w:r w:rsidRPr="00124C09">
              <w:rPr>
                <w:color w:val="7030A0"/>
                <w:sz w:val="18"/>
                <w:szCs w:val="18"/>
                <w:lang w:val="en-US"/>
              </w:rPr>
              <w:t xml:space="preserve">Eurostat, </w:t>
            </w:r>
            <w:r w:rsidRPr="00124C09">
              <w:rPr>
                <w:color w:val="7030A0"/>
                <w:sz w:val="18"/>
                <w:szCs w:val="18"/>
              </w:rPr>
              <w:t>Ιαν. 2016)</w:t>
            </w:r>
          </w:p>
          <w:p w:rsidR="00A97FD0" w:rsidRPr="00124C09" w:rsidRDefault="00A97FD0" w:rsidP="00124C09">
            <w:pPr>
              <w:spacing w:after="0" w:line="240" w:lineRule="auto"/>
              <w:rPr>
                <w:rFonts w:ascii="Arial" w:hAnsi="Arial" w:cs="Arial"/>
                <w:b/>
                <w:bCs/>
                <w:color w:val="003399"/>
                <w:sz w:val="18"/>
                <w:szCs w:val="18"/>
                <w:lang w:eastAsia="el-GR"/>
              </w:rPr>
            </w:pPr>
            <w:r w:rsidRPr="00124C09">
              <w:rPr>
                <w:rFonts w:ascii="Arial" w:hAnsi="Arial" w:cs="Arial"/>
                <w:b/>
                <w:noProof/>
                <w:color w:val="003399"/>
                <w:sz w:val="18"/>
                <w:szCs w:val="18"/>
                <w:lang w:val="en-US"/>
              </w:rPr>
              <w:pict>
                <v:shape id="Picture 73" o:spid="_x0000_i1035" type="#_x0000_t75" style="width:255pt;height:141.75pt;visibility:visible">
                  <v:imagedata r:id="rId22" o:title=""/>
                </v:shape>
              </w:pict>
            </w:r>
          </w:p>
          <w:p w:rsidR="00A97FD0" w:rsidRPr="00124C09" w:rsidRDefault="00A97FD0" w:rsidP="00124C09">
            <w:pPr>
              <w:spacing w:after="0" w:line="240" w:lineRule="auto"/>
              <w:rPr>
                <w:b/>
                <w:bCs/>
                <w:color w:val="7030A0"/>
                <w:sz w:val="20"/>
                <w:szCs w:val="20"/>
              </w:rPr>
            </w:pPr>
            <w:r w:rsidRPr="00124C09">
              <w:rPr>
                <w:b/>
                <w:bCs/>
                <w:color w:val="7030A0"/>
                <w:sz w:val="20"/>
                <w:szCs w:val="20"/>
                <w:u w:val="single"/>
              </w:rPr>
              <w:t>Διάγραμμα 11</w:t>
            </w:r>
            <w:r w:rsidRPr="00124C09">
              <w:rPr>
                <w:b/>
                <w:bCs/>
                <w:color w:val="7030A0"/>
                <w:sz w:val="20"/>
                <w:szCs w:val="20"/>
              </w:rPr>
              <w:t>: Ιδιωτική οικοδομική δραστηριότητα</w:t>
            </w:r>
          </w:p>
          <w:p w:rsidR="00A97FD0" w:rsidRPr="00124C09" w:rsidRDefault="00A97FD0" w:rsidP="00124C09">
            <w:pPr>
              <w:spacing w:after="0" w:line="240" w:lineRule="auto"/>
            </w:pPr>
            <w:r w:rsidRPr="00124C09">
              <w:rPr>
                <w:color w:val="7030A0"/>
                <w:sz w:val="18"/>
                <w:szCs w:val="18"/>
              </w:rPr>
              <w:t>(ΕΛΣΤΑΤ, Δεκ. 2015)</w:t>
            </w:r>
          </w:p>
          <w:p w:rsidR="00A97FD0" w:rsidRPr="00124C09" w:rsidRDefault="00A97FD0" w:rsidP="00124C09">
            <w:pPr>
              <w:spacing w:after="0" w:line="240" w:lineRule="auto"/>
              <w:rPr>
                <w:rFonts w:ascii="Arial" w:hAnsi="Arial" w:cs="Arial"/>
                <w:b/>
                <w:bCs/>
                <w:color w:val="003399"/>
                <w:sz w:val="18"/>
                <w:szCs w:val="18"/>
                <w:lang w:eastAsia="el-GR"/>
              </w:rPr>
            </w:pPr>
            <w:r w:rsidRPr="00124C09">
              <w:rPr>
                <w:rFonts w:ascii="Arial" w:hAnsi="Arial" w:cs="Arial"/>
                <w:b/>
                <w:noProof/>
                <w:color w:val="003399"/>
                <w:sz w:val="18"/>
                <w:szCs w:val="18"/>
                <w:lang w:val="en-US"/>
              </w:rPr>
              <w:pict>
                <v:shape id="Picture 74" o:spid="_x0000_i1036" type="#_x0000_t75" style="width:255pt;height:127.5pt;visibility:visible">
                  <v:imagedata r:id="rId23" o:title=""/>
                </v:shape>
              </w:pict>
            </w:r>
          </w:p>
          <w:p w:rsidR="00A97FD0" w:rsidRPr="00124C09" w:rsidRDefault="00A97FD0" w:rsidP="00124C09">
            <w:pPr>
              <w:spacing w:after="0" w:line="240" w:lineRule="auto"/>
              <w:rPr>
                <w:b/>
                <w:bCs/>
                <w:color w:val="7030A0"/>
                <w:sz w:val="20"/>
                <w:szCs w:val="20"/>
              </w:rPr>
            </w:pPr>
            <w:r w:rsidRPr="00124C09">
              <w:rPr>
                <w:b/>
                <w:bCs/>
                <w:color w:val="7030A0"/>
                <w:sz w:val="20"/>
                <w:szCs w:val="20"/>
                <w:u w:val="single"/>
              </w:rPr>
              <w:t>Πίνακας 1:</w:t>
            </w:r>
            <w:r w:rsidRPr="00124C09">
              <w:rPr>
                <w:b/>
                <w:bCs/>
                <w:color w:val="7030A0"/>
                <w:sz w:val="20"/>
                <w:szCs w:val="20"/>
              </w:rPr>
              <w:t xml:space="preserve">Εκτέλεση κρατικού προϋπολογισμού </w:t>
            </w:r>
          </w:p>
          <w:p w:rsidR="00A97FD0" w:rsidRPr="00124C09" w:rsidRDefault="00A97FD0" w:rsidP="00124C09">
            <w:pPr>
              <w:spacing w:after="0" w:line="240" w:lineRule="auto"/>
              <w:rPr>
                <w:b/>
                <w:bCs/>
                <w:color w:val="7030A0"/>
                <w:sz w:val="18"/>
                <w:szCs w:val="18"/>
              </w:rPr>
            </w:pPr>
            <w:r w:rsidRPr="00124C09">
              <w:rPr>
                <w:bCs/>
                <w:color w:val="7030A0"/>
                <w:sz w:val="18"/>
                <w:szCs w:val="18"/>
              </w:rPr>
              <w:t>(Υπ. Οικ. Φεβ. 2016)</w:t>
            </w:r>
          </w:p>
          <w:p w:rsidR="00A97FD0" w:rsidRPr="00124C09" w:rsidRDefault="00A97FD0" w:rsidP="00124C09">
            <w:pPr>
              <w:spacing w:after="0" w:line="240" w:lineRule="auto"/>
              <w:rPr>
                <w:b/>
                <w:bCs/>
                <w:color w:val="7030A0"/>
                <w:sz w:val="20"/>
                <w:szCs w:val="20"/>
              </w:rPr>
            </w:pPr>
            <w:r w:rsidRPr="00124C09">
              <w:rPr>
                <w:rFonts w:eastAsia="Times New Roman"/>
              </w:rPr>
              <w:object w:dxaOrig="7995" w:dyaOrig="3030">
                <v:shape id="_x0000_i1037" type="#_x0000_t75" style="width:240pt;height:90.75pt" o:ole="" o:bordertopcolor="#7030a0" o:borderleftcolor="#7030a0" o:borderbottomcolor="#7030a0" o:borderrightcolor="#7030a0">
                  <v:imagedata r:id="rId24" o:title=""/>
                  <w10:bordertop type="single" width="8"/>
                  <w10:borderleft type="single" width="8"/>
                  <w10:borderbottom type="single" width="8"/>
                  <w10:borderright type="single" width="8"/>
                </v:shape>
                <o:OLEObject Type="Embed" ProgID="Paint.Picture" ShapeID="_x0000_i1037" DrawAspect="Content" ObjectID="_1519723293" r:id="rId25"/>
              </w:object>
            </w:r>
            <w:r w:rsidRPr="00124C09">
              <w:rPr>
                <w:color w:val="7030A0"/>
                <w:sz w:val="16"/>
                <w:szCs w:val="16"/>
              </w:rPr>
              <w:t xml:space="preserve">Δεν έχουν αφαιρεθεί έκτακτα έσοδα από </w:t>
            </w:r>
            <w:r w:rsidRPr="00124C09">
              <w:rPr>
                <w:color w:val="7030A0"/>
                <w:sz w:val="16"/>
                <w:szCs w:val="16"/>
                <w:lang w:val="en-US"/>
              </w:rPr>
              <w:t>ANFA</w:t>
            </w:r>
            <w:r w:rsidRPr="00124C09">
              <w:rPr>
                <w:color w:val="7030A0"/>
                <w:sz w:val="16"/>
                <w:szCs w:val="16"/>
              </w:rPr>
              <w:t xml:space="preserve">/ </w:t>
            </w:r>
            <w:r w:rsidRPr="00124C09">
              <w:rPr>
                <w:color w:val="7030A0"/>
                <w:sz w:val="16"/>
                <w:szCs w:val="16"/>
                <w:lang w:val="en-US"/>
              </w:rPr>
              <w:t>SMP</w:t>
            </w:r>
            <w:r w:rsidRPr="00124C09">
              <w:rPr>
                <w:color w:val="7030A0"/>
                <w:sz w:val="16"/>
                <w:szCs w:val="16"/>
              </w:rPr>
              <w:t xml:space="preserve"> ύψους €450 εκατ. μέχρι την έκδοση των αναλυτικών στοιχείων εσόδων Φεβ. 2016)</w:t>
            </w:r>
          </w:p>
          <w:p w:rsidR="00A97FD0" w:rsidRPr="00124C09" w:rsidRDefault="00A97FD0" w:rsidP="00124C09">
            <w:pPr>
              <w:spacing w:after="0" w:line="240" w:lineRule="auto"/>
              <w:rPr>
                <w:b/>
                <w:bCs/>
                <w:color w:val="7030A0"/>
                <w:sz w:val="20"/>
                <w:szCs w:val="20"/>
              </w:rPr>
            </w:pPr>
            <w:r w:rsidRPr="00124C09">
              <w:rPr>
                <w:b/>
                <w:bCs/>
                <w:color w:val="7030A0"/>
                <w:sz w:val="20"/>
                <w:szCs w:val="20"/>
                <w:u w:val="single"/>
              </w:rPr>
              <w:t>Πίνακας 2:</w:t>
            </w:r>
            <w:r w:rsidRPr="00124C09">
              <w:rPr>
                <w:b/>
                <w:bCs/>
                <w:color w:val="7030A0"/>
                <w:sz w:val="20"/>
                <w:szCs w:val="20"/>
              </w:rPr>
              <w:t xml:space="preserve"> Δομή φόρου εισοδήματος φυσικών προσώπων </w:t>
            </w:r>
            <w:r w:rsidRPr="00124C09">
              <w:rPr>
                <w:bCs/>
                <w:color w:val="7030A0"/>
                <w:sz w:val="20"/>
                <w:szCs w:val="20"/>
              </w:rPr>
              <w:t>(ΚΦΕ ,Ν4172/2013)</w:t>
            </w:r>
          </w:p>
          <w:p w:rsidR="00A97FD0" w:rsidRPr="00124C09" w:rsidRDefault="00A97FD0" w:rsidP="00124C09">
            <w:pPr>
              <w:spacing w:after="0" w:line="216" w:lineRule="auto"/>
              <w:jc w:val="both"/>
            </w:pPr>
            <w:r w:rsidRPr="00124C09">
              <w:rPr>
                <w:rFonts w:eastAsia="Times New Roman"/>
              </w:rPr>
              <w:object w:dxaOrig="9120" w:dyaOrig="6240">
                <v:shape id="_x0000_i1038" type="#_x0000_t75" style="width:241.5pt;height:165pt" o:ole="" o:bordertopcolor="#7030a0" o:borderleftcolor="#7030a0" o:borderbottomcolor="#7030a0" o:borderrightcolor="#7030a0">
                  <v:imagedata r:id="rId26" o:title=""/>
                  <w10:bordertop type="single" width="12"/>
                  <w10:borderleft type="single" width="12"/>
                  <w10:borderbottom type="single" width="12"/>
                  <w10:borderright type="single" width="12"/>
                </v:shape>
                <o:OLEObject Type="Embed" ProgID="Paint.Picture" ShapeID="_x0000_i1038" DrawAspect="Content" ObjectID="_1519723294" r:id="rId27"/>
              </w:object>
            </w:r>
            <w:r w:rsidRPr="00124C09">
              <w:rPr>
                <w:color w:val="7030A0"/>
                <w:sz w:val="16"/>
                <w:szCs w:val="16"/>
              </w:rPr>
              <w:t xml:space="preserve"> Σημείωση: Η επιστροφή φόρου –αφορολόγητο αφορά μόνο εισοδήματα από μισθούς και συντάξεις, και όχι αγρότες και αυτοαπασχολούμενους. </w:t>
            </w:r>
          </w:p>
          <w:p w:rsidR="00A97FD0" w:rsidRPr="00124C09" w:rsidRDefault="00A97FD0" w:rsidP="00124C09">
            <w:pPr>
              <w:spacing w:after="0" w:line="216" w:lineRule="auto"/>
              <w:jc w:val="both"/>
              <w:rPr>
                <w:b/>
                <w:bCs/>
                <w:color w:val="7030A0"/>
                <w:sz w:val="20"/>
                <w:szCs w:val="20"/>
                <w:u w:val="single"/>
              </w:rPr>
            </w:pPr>
          </w:p>
          <w:p w:rsidR="00A97FD0" w:rsidRPr="00124C09" w:rsidRDefault="00A97FD0" w:rsidP="00124C09">
            <w:pPr>
              <w:spacing w:after="0" w:line="216" w:lineRule="auto"/>
              <w:jc w:val="both"/>
              <w:rPr>
                <w:b/>
                <w:bCs/>
                <w:color w:val="7030A0"/>
                <w:sz w:val="20"/>
                <w:szCs w:val="20"/>
              </w:rPr>
            </w:pPr>
            <w:r w:rsidRPr="00124C09">
              <w:rPr>
                <w:b/>
                <w:bCs/>
                <w:color w:val="7030A0"/>
                <w:sz w:val="20"/>
                <w:szCs w:val="20"/>
                <w:u w:val="single"/>
              </w:rPr>
              <w:t>Πίνακας 3:</w:t>
            </w:r>
            <w:r w:rsidRPr="00124C09">
              <w:rPr>
                <w:b/>
                <w:bCs/>
                <w:color w:val="7030A0"/>
                <w:sz w:val="20"/>
                <w:szCs w:val="20"/>
              </w:rPr>
              <w:t xml:space="preserve"> Αφορολόγητα και πιστώσεις φόρου σε επιλεγμένες χώρες της ΕΕ</w:t>
            </w:r>
            <w:r w:rsidRPr="00124C09">
              <w:rPr>
                <w:b/>
                <w:bCs/>
                <w:color w:val="7030A0"/>
                <w:sz w:val="16"/>
                <w:szCs w:val="16"/>
              </w:rPr>
              <w:t xml:space="preserve">. </w:t>
            </w:r>
            <w:r w:rsidRPr="00124C09">
              <w:rPr>
                <w:bCs/>
                <w:color w:val="7030A0"/>
                <w:sz w:val="16"/>
                <w:szCs w:val="16"/>
              </w:rPr>
              <w:t xml:space="preserve">(Ευρ. Επιτροπή, </w:t>
            </w:r>
            <w:hyperlink r:id="rId28" w:history="1">
              <w:r w:rsidRPr="00124C09">
                <w:rPr>
                  <w:bCs/>
                  <w:color w:val="0000FF"/>
                  <w:sz w:val="16"/>
                  <w:szCs w:val="16"/>
                  <w:u w:val="single"/>
                  <w:lang w:val="en-US"/>
                </w:rPr>
                <w:t>TaxesinEuropeDatabase</w:t>
              </w:r>
            </w:hyperlink>
            <w:r w:rsidRPr="00124C09">
              <w:rPr>
                <w:bCs/>
                <w:color w:val="7030A0"/>
                <w:sz w:val="16"/>
                <w:szCs w:val="16"/>
              </w:rPr>
              <w:t xml:space="preserve">. Το όριο φτώχειας που χρησιμοποιείται είναι το 60% του διάμεσου εισοδήματος 2014, στοιχεία </w:t>
            </w:r>
            <w:r w:rsidRPr="00124C09">
              <w:rPr>
                <w:bCs/>
                <w:color w:val="7030A0"/>
                <w:sz w:val="16"/>
                <w:szCs w:val="16"/>
                <w:lang w:val="en-US"/>
              </w:rPr>
              <w:t>Eurostat</w:t>
            </w:r>
            <w:r w:rsidRPr="00124C09">
              <w:rPr>
                <w:bCs/>
                <w:color w:val="7030A0"/>
                <w:sz w:val="16"/>
                <w:szCs w:val="16"/>
              </w:rPr>
              <w:t>.)</w:t>
            </w:r>
          </w:p>
          <w:p w:rsidR="00A97FD0" w:rsidRPr="00124C09" w:rsidRDefault="00A97FD0" w:rsidP="00124C09">
            <w:pPr>
              <w:spacing w:after="0" w:line="216" w:lineRule="auto"/>
              <w:jc w:val="both"/>
              <w:rPr>
                <w:sz w:val="8"/>
                <w:szCs w:val="8"/>
                <w:lang w:val="en-US"/>
              </w:rPr>
            </w:pPr>
            <w:r w:rsidRPr="00124C09">
              <w:rPr>
                <w:rFonts w:eastAsia="Times New Roman"/>
              </w:rPr>
              <w:object w:dxaOrig="11625" w:dyaOrig="16950">
                <v:shape id="_x0000_i1039" type="#_x0000_t75" style="width:249.75pt;height:364.5pt" o:ole="" o:bordertopcolor="#7030a0" o:borderleftcolor="#7030a0" o:borderbottomcolor="#7030a0" o:borderrightcolor="#7030a0">
                  <v:imagedata r:id="rId29" o:title=""/>
                  <w10:bordertop type="single" width="12"/>
                  <w10:borderleft type="single" width="12"/>
                  <w10:borderbottom type="single" width="12"/>
                  <w10:borderright type="single" width="12"/>
                </v:shape>
                <o:OLEObject Type="Embed" ProgID="Paint.Picture" ShapeID="_x0000_i1039" DrawAspect="Content" ObjectID="_1519723295" r:id="rId30"/>
              </w:object>
            </w:r>
          </w:p>
          <w:p w:rsidR="00A97FD0" w:rsidRPr="00124C09" w:rsidRDefault="00A97FD0" w:rsidP="00124C09">
            <w:pPr>
              <w:spacing w:after="0" w:line="216" w:lineRule="auto"/>
              <w:jc w:val="both"/>
            </w:pPr>
            <w:r w:rsidRPr="00124C09">
              <w:rPr>
                <w:b/>
                <w:bCs/>
                <w:color w:val="7030A0"/>
                <w:sz w:val="20"/>
                <w:szCs w:val="20"/>
                <w:u w:val="single"/>
              </w:rPr>
              <w:t>Διάγραμμα 12:</w:t>
            </w:r>
            <w:r w:rsidRPr="00124C09">
              <w:rPr>
                <w:b/>
                <w:bCs/>
                <w:color w:val="7030A0"/>
                <w:sz w:val="20"/>
                <w:szCs w:val="20"/>
              </w:rPr>
              <w:t xml:space="preserve"> Βασικό αφορολόγητο ως % επιπέδου φτώχειας σε  επιλεγμένες χώρες της ΕΕ, 2014. </w:t>
            </w:r>
            <w:r w:rsidRPr="00124C09">
              <w:rPr>
                <w:bCs/>
                <w:color w:val="7030A0"/>
                <w:sz w:val="20"/>
                <w:szCs w:val="20"/>
              </w:rPr>
              <w:t>(ως άνω)</w:t>
            </w:r>
          </w:p>
          <w:p w:rsidR="00A97FD0" w:rsidRPr="00124C09" w:rsidRDefault="00A97FD0" w:rsidP="00124C09">
            <w:pPr>
              <w:spacing w:after="0" w:line="216" w:lineRule="auto"/>
              <w:jc w:val="both"/>
              <w:rPr>
                <w:b/>
                <w:bCs/>
                <w:color w:val="7030A0"/>
                <w:sz w:val="20"/>
                <w:szCs w:val="20"/>
              </w:rPr>
            </w:pPr>
            <w:r w:rsidRPr="00124C09">
              <w:rPr>
                <w:b/>
                <w:noProof/>
                <w:color w:val="7030A0"/>
                <w:sz w:val="20"/>
                <w:szCs w:val="20"/>
                <w:lang w:val="en-US"/>
              </w:rPr>
              <w:pict>
                <v:shape id="Picture 7" o:spid="_x0000_i1040" type="#_x0000_t75" style="width:254.25pt;height:123pt;visibility:visible">
                  <v:imagedata r:id="rId31" o:title=""/>
                </v:shape>
              </w:pict>
            </w:r>
          </w:p>
          <w:p w:rsidR="00A97FD0" w:rsidRPr="00124C09" w:rsidRDefault="00A97FD0" w:rsidP="00124C09">
            <w:pPr>
              <w:spacing w:after="0" w:line="216" w:lineRule="auto"/>
              <w:jc w:val="both"/>
              <w:rPr>
                <w:b/>
                <w:bCs/>
                <w:color w:val="7030A0"/>
                <w:sz w:val="16"/>
                <w:szCs w:val="16"/>
              </w:rPr>
            </w:pPr>
            <w:r w:rsidRPr="00124C09">
              <w:rPr>
                <w:b/>
                <w:bCs/>
                <w:color w:val="7030A0"/>
                <w:sz w:val="20"/>
                <w:szCs w:val="20"/>
                <w:u w:val="single"/>
              </w:rPr>
              <w:t>Διάγραμμα 13:</w:t>
            </w:r>
            <w:r w:rsidRPr="00124C09">
              <w:rPr>
                <w:b/>
                <w:bCs/>
                <w:color w:val="7030A0"/>
                <w:sz w:val="20"/>
                <w:szCs w:val="20"/>
              </w:rPr>
              <w:t xml:space="preserve"> Μέσες ετήσιες μικτές αποδοχές 2014 </w:t>
            </w:r>
            <w:r w:rsidRPr="00124C09">
              <w:rPr>
                <w:bCs/>
                <w:color w:val="7030A0"/>
                <w:sz w:val="16"/>
                <w:szCs w:val="16"/>
              </w:rPr>
              <w:t>(Στοιχεία ΙΚΑ, στοιχεία ΗΛΙΟΣ για συντάξεις και στοιχεία προϋπολογισμού και απογραφής 2014 για δημόσιο)</w:t>
            </w:r>
          </w:p>
          <w:p w:rsidR="00A97FD0" w:rsidRPr="00124C09" w:rsidRDefault="00A97FD0" w:rsidP="00124C09">
            <w:pPr>
              <w:spacing w:after="0" w:line="216" w:lineRule="auto"/>
              <w:jc w:val="both"/>
              <w:rPr>
                <w:b/>
                <w:bCs/>
                <w:color w:val="7030A0"/>
                <w:sz w:val="20"/>
                <w:szCs w:val="20"/>
                <w:lang w:val="en-US"/>
              </w:rPr>
            </w:pPr>
            <w:r w:rsidRPr="00124C09">
              <w:rPr>
                <w:b/>
                <w:noProof/>
                <w:color w:val="7030A0"/>
                <w:sz w:val="20"/>
                <w:szCs w:val="20"/>
                <w:lang w:val="en-US"/>
              </w:rPr>
              <w:pict>
                <v:shape id="Picture 8" o:spid="_x0000_i1041" type="#_x0000_t75" style="width:252pt;height:111.75pt;visibility:visible">
                  <v:imagedata r:id="rId32" o:title=""/>
                </v:shape>
              </w:pict>
            </w:r>
          </w:p>
        </w:tc>
      </w:tr>
    </w:tbl>
    <w:p w:rsidR="00A97FD0" w:rsidRPr="007723B8" w:rsidRDefault="00A97FD0" w:rsidP="008176FA">
      <w:pPr>
        <w:spacing w:after="0" w:line="240" w:lineRule="auto"/>
        <w:ind w:right="543"/>
        <w:jc w:val="both"/>
        <w:rPr>
          <w:rFonts w:ascii="Georgia" w:hAnsi="Georgia"/>
          <w:bCs/>
          <w:color w:val="000000"/>
          <w:sz w:val="18"/>
          <w:szCs w:val="18"/>
          <w:lang w:val="en-US" w:eastAsia="el-GR"/>
        </w:rPr>
        <w:sectPr w:rsidR="00A97FD0" w:rsidRPr="007723B8" w:rsidSect="00424E8D">
          <w:headerReference w:type="even" r:id="rId33"/>
          <w:headerReference w:type="default" r:id="rId34"/>
          <w:footerReference w:type="default" r:id="rId35"/>
          <w:headerReference w:type="first" r:id="rId36"/>
          <w:footerReference w:type="first" r:id="rId37"/>
          <w:pgSz w:w="11906" w:h="16838"/>
          <w:pgMar w:top="1843" w:right="720" w:bottom="709" w:left="720" w:header="708" w:footer="463" w:gutter="0"/>
          <w:cols w:space="708"/>
          <w:titlePg/>
          <w:docGrid w:linePitch="360"/>
        </w:sectPr>
      </w:pPr>
    </w:p>
    <w:p w:rsidR="00A97FD0" w:rsidRPr="007723B8" w:rsidRDefault="00A97FD0" w:rsidP="008176FA">
      <w:pPr>
        <w:spacing w:after="0" w:line="240" w:lineRule="auto"/>
        <w:ind w:right="543"/>
        <w:jc w:val="both"/>
        <w:rPr>
          <w:rFonts w:ascii="Georgia" w:hAnsi="Georgia"/>
          <w:bCs/>
          <w:color w:val="000000"/>
          <w:sz w:val="18"/>
          <w:szCs w:val="18"/>
          <w:lang w:val="en-US" w:eastAsia="el-GR"/>
        </w:rPr>
      </w:pPr>
    </w:p>
    <w:tbl>
      <w:tblPr>
        <w:tblpPr w:leftFromText="181" w:rightFromText="181" w:vertAnchor="page" w:horzAnchor="page" w:tblpXSpec="center" w:tblpY="2269"/>
        <w:tblOverlap w:val="never"/>
        <w:tblW w:w="0" w:type="auto"/>
        <w:tblLook w:val="00A0"/>
      </w:tblPr>
      <w:tblGrid>
        <w:gridCol w:w="5197"/>
        <w:gridCol w:w="5192"/>
      </w:tblGrid>
      <w:tr w:rsidR="00A97FD0" w:rsidRPr="00124C09" w:rsidTr="00124C09">
        <w:trPr>
          <w:trHeight w:val="1503"/>
        </w:trPr>
        <w:tc>
          <w:tcPr>
            <w:tcW w:w="10389" w:type="dxa"/>
            <w:gridSpan w:val="2"/>
          </w:tcPr>
          <w:tbl>
            <w:tblPr>
              <w:tblW w:w="9498" w:type="dxa"/>
              <w:jc w:val="center"/>
              <w:tblLook w:val="00A0"/>
            </w:tblPr>
            <w:tblGrid>
              <w:gridCol w:w="2410"/>
              <w:gridCol w:w="2126"/>
              <w:gridCol w:w="2268"/>
              <w:gridCol w:w="2694"/>
            </w:tblGrid>
            <w:tr w:rsidR="00A97FD0" w:rsidRPr="00124C09" w:rsidTr="0005095E">
              <w:trPr>
                <w:trHeight w:val="20"/>
                <w:jc w:val="center"/>
              </w:trPr>
              <w:tc>
                <w:tcPr>
                  <w:tcW w:w="9498" w:type="dxa"/>
                  <w:gridSpan w:val="4"/>
                  <w:noWrap/>
                  <w:vAlign w:val="bottom"/>
                </w:tcPr>
                <w:p w:rsidR="00A97FD0" w:rsidRPr="006C7DB8" w:rsidRDefault="00A97FD0" w:rsidP="00193E93">
                  <w:pPr>
                    <w:framePr w:hSpace="181" w:wrap="around" w:vAnchor="page" w:hAnchor="page" w:xAlign="center" w:y="2269"/>
                    <w:spacing w:after="0" w:line="240" w:lineRule="auto"/>
                    <w:suppressOverlap/>
                    <w:jc w:val="center"/>
                    <w:rPr>
                      <w:b/>
                      <w:bCs/>
                      <w:color w:val="1F497D"/>
                      <w:sz w:val="28"/>
                      <w:szCs w:val="28"/>
                    </w:rPr>
                  </w:pPr>
                  <w:r w:rsidRPr="00124C09">
                    <w:br w:type="page"/>
                  </w:r>
                  <w:r w:rsidRPr="00CB3179">
                    <w:rPr>
                      <w:b/>
                      <w:bCs/>
                      <w:color w:val="365F91"/>
                      <w:sz w:val="28"/>
                      <w:szCs w:val="28"/>
                      <w:shd w:val="clear" w:color="auto" w:fill="365F91"/>
                    </w:rPr>
                    <w:t>..</w:t>
                  </w:r>
                  <w:r>
                    <w:rPr>
                      <w:b/>
                      <w:bCs/>
                      <w:color w:val="F2F2F2"/>
                      <w:sz w:val="28"/>
                      <w:szCs w:val="28"/>
                      <w:shd w:val="clear" w:color="auto" w:fill="365F91"/>
                    </w:rPr>
                    <w:t>Οικονομικά μεγέθη μελών ΣΕΒ</w:t>
                  </w:r>
                  <w:r w:rsidRPr="00CB3179">
                    <w:rPr>
                      <w:b/>
                      <w:bCs/>
                      <w:color w:val="365F91"/>
                      <w:sz w:val="28"/>
                      <w:szCs w:val="28"/>
                      <w:shd w:val="clear" w:color="auto" w:fill="365F91"/>
                    </w:rPr>
                    <w:t>..</w:t>
                  </w:r>
                </w:p>
                <w:p w:rsidR="00A97FD0" w:rsidRPr="001A261D" w:rsidRDefault="00A97FD0" w:rsidP="00193E93">
                  <w:pPr>
                    <w:framePr w:hSpace="181" w:wrap="around" w:vAnchor="page" w:hAnchor="page" w:xAlign="center" w:y="2269"/>
                    <w:spacing w:after="0" w:line="240" w:lineRule="auto"/>
                    <w:suppressOverlap/>
                    <w:rPr>
                      <w:b/>
                      <w:bCs/>
                      <w:color w:val="1F497D"/>
                      <w:sz w:val="24"/>
                      <w:szCs w:val="24"/>
                    </w:rPr>
                  </w:pPr>
                  <w:r w:rsidRPr="001A261D">
                    <w:rPr>
                      <w:b/>
                      <w:bCs/>
                      <w:color w:val="1F497D"/>
                      <w:sz w:val="24"/>
                      <w:szCs w:val="24"/>
                      <w:lang w:val="en-US"/>
                    </w:rPr>
                    <w:t> </w:t>
                  </w:r>
                </w:p>
              </w:tc>
            </w:tr>
            <w:tr w:rsidR="00A97FD0" w:rsidRPr="00124C09" w:rsidTr="0005095E">
              <w:trPr>
                <w:trHeight w:val="20"/>
                <w:jc w:val="center"/>
              </w:trPr>
              <w:tc>
                <w:tcPr>
                  <w:tcW w:w="2410" w:type="dxa"/>
                  <w:tcBorders>
                    <w:right w:val="single" w:sz="48" w:space="0" w:color="FFFFFF"/>
                  </w:tcBorders>
                  <w:shd w:val="clear" w:color="auto" w:fill="365F91"/>
                  <w:noWrap/>
                  <w:vAlign w:val="bottom"/>
                </w:tcPr>
                <w:p w:rsidR="00A97FD0" w:rsidRPr="000E2E34" w:rsidRDefault="00A97FD0" w:rsidP="00193E93">
                  <w:pPr>
                    <w:framePr w:hSpace="181" w:wrap="around" w:vAnchor="page" w:hAnchor="page" w:xAlign="center" w:y="2269"/>
                    <w:spacing w:after="0" w:line="240" w:lineRule="auto"/>
                    <w:suppressOverlap/>
                    <w:jc w:val="center"/>
                    <w:rPr>
                      <w:b/>
                      <w:bCs/>
                      <w:color w:val="FFFFFF"/>
                      <w:sz w:val="24"/>
                      <w:szCs w:val="24"/>
                    </w:rPr>
                  </w:pPr>
                  <w:r w:rsidRPr="000E2E34">
                    <w:rPr>
                      <w:b/>
                      <w:bCs/>
                      <w:color w:val="FFFFFF"/>
                      <w:sz w:val="24"/>
                      <w:szCs w:val="24"/>
                    </w:rPr>
                    <w:t xml:space="preserve">Ενεργητικό   </w:t>
                  </w:r>
                </w:p>
              </w:tc>
              <w:tc>
                <w:tcPr>
                  <w:tcW w:w="2126" w:type="dxa"/>
                  <w:tcBorders>
                    <w:left w:val="single" w:sz="48" w:space="0" w:color="FFFFFF"/>
                    <w:right w:val="single" w:sz="48" w:space="0" w:color="FFFFFF"/>
                  </w:tcBorders>
                  <w:shd w:val="clear" w:color="auto" w:fill="365F91"/>
                  <w:noWrap/>
                  <w:vAlign w:val="bottom"/>
                </w:tcPr>
                <w:p w:rsidR="00A97FD0" w:rsidRPr="000E2E34" w:rsidRDefault="00A97FD0" w:rsidP="00193E93">
                  <w:pPr>
                    <w:framePr w:hSpace="181" w:wrap="around" w:vAnchor="page" w:hAnchor="page" w:xAlign="center" w:y="2269"/>
                    <w:spacing w:after="0" w:line="240" w:lineRule="auto"/>
                    <w:suppressOverlap/>
                    <w:jc w:val="center"/>
                    <w:rPr>
                      <w:b/>
                      <w:bCs/>
                      <w:color w:val="FFFFFF"/>
                      <w:sz w:val="24"/>
                      <w:szCs w:val="24"/>
                    </w:rPr>
                  </w:pPr>
                  <w:r w:rsidRPr="000E2E34">
                    <w:rPr>
                      <w:b/>
                      <w:bCs/>
                      <w:color w:val="FFFFFF"/>
                      <w:sz w:val="24"/>
                      <w:szCs w:val="24"/>
                    </w:rPr>
                    <w:t xml:space="preserve">Ίδια κεφάλαια   </w:t>
                  </w:r>
                </w:p>
              </w:tc>
              <w:tc>
                <w:tcPr>
                  <w:tcW w:w="2268" w:type="dxa"/>
                  <w:tcBorders>
                    <w:left w:val="single" w:sz="48" w:space="0" w:color="FFFFFF"/>
                    <w:right w:val="single" w:sz="48" w:space="0" w:color="FFFFFF"/>
                  </w:tcBorders>
                  <w:shd w:val="clear" w:color="auto" w:fill="365F91"/>
                  <w:noWrap/>
                  <w:vAlign w:val="bottom"/>
                </w:tcPr>
                <w:p w:rsidR="00A97FD0" w:rsidRPr="000E2E34" w:rsidRDefault="00A97FD0" w:rsidP="00193E93">
                  <w:pPr>
                    <w:framePr w:hSpace="181" w:wrap="around" w:vAnchor="page" w:hAnchor="page" w:xAlign="center" w:y="2269"/>
                    <w:spacing w:after="0" w:line="240" w:lineRule="auto"/>
                    <w:suppressOverlap/>
                    <w:jc w:val="center"/>
                    <w:rPr>
                      <w:b/>
                      <w:bCs/>
                      <w:color w:val="FFFFFF"/>
                      <w:sz w:val="24"/>
                      <w:szCs w:val="24"/>
                    </w:rPr>
                  </w:pPr>
                  <w:r w:rsidRPr="001A261D">
                    <w:rPr>
                      <w:b/>
                      <w:bCs/>
                      <w:color w:val="FFFFFF"/>
                      <w:sz w:val="24"/>
                      <w:szCs w:val="24"/>
                    </w:rPr>
                    <w:t>Πωλήσεις</w:t>
                  </w:r>
                </w:p>
              </w:tc>
              <w:tc>
                <w:tcPr>
                  <w:tcW w:w="2694" w:type="dxa"/>
                  <w:tcBorders>
                    <w:left w:val="single" w:sz="48" w:space="0" w:color="FFFFFF"/>
                  </w:tcBorders>
                  <w:shd w:val="clear" w:color="auto" w:fill="365F91"/>
                  <w:noWrap/>
                  <w:vAlign w:val="bottom"/>
                </w:tcPr>
                <w:p w:rsidR="00A97FD0" w:rsidRPr="000E2E34" w:rsidRDefault="00A97FD0" w:rsidP="00193E93">
                  <w:pPr>
                    <w:framePr w:hSpace="181" w:wrap="around" w:vAnchor="page" w:hAnchor="page" w:xAlign="center" w:y="2269"/>
                    <w:spacing w:after="0" w:line="240" w:lineRule="auto"/>
                    <w:suppressOverlap/>
                    <w:jc w:val="center"/>
                    <w:rPr>
                      <w:b/>
                      <w:bCs/>
                      <w:color w:val="FFFFFF"/>
                      <w:sz w:val="24"/>
                      <w:szCs w:val="24"/>
                    </w:rPr>
                  </w:pPr>
                  <w:r>
                    <w:rPr>
                      <w:b/>
                      <w:bCs/>
                      <w:color w:val="FFFFFF"/>
                      <w:sz w:val="24"/>
                      <w:szCs w:val="24"/>
                    </w:rPr>
                    <w:t>Προ φόρων κ</w:t>
                  </w:r>
                  <w:r w:rsidRPr="000E2E34">
                    <w:rPr>
                      <w:b/>
                      <w:bCs/>
                      <w:color w:val="FFFFFF"/>
                      <w:sz w:val="24"/>
                      <w:szCs w:val="24"/>
                    </w:rPr>
                    <w:t>έρδη</w:t>
                  </w:r>
                </w:p>
              </w:tc>
            </w:tr>
            <w:tr w:rsidR="00A97FD0" w:rsidRPr="00124C09" w:rsidTr="0005095E">
              <w:trPr>
                <w:trHeight w:val="20"/>
                <w:jc w:val="center"/>
              </w:trPr>
              <w:tc>
                <w:tcPr>
                  <w:tcW w:w="2410" w:type="dxa"/>
                  <w:tcBorders>
                    <w:bottom w:val="single" w:sz="48" w:space="0" w:color="FFFFFF"/>
                    <w:right w:val="single" w:sz="48" w:space="0" w:color="FFFFFF"/>
                  </w:tcBorders>
                  <w:shd w:val="clear" w:color="auto" w:fill="365F91"/>
                  <w:noWrap/>
                  <w:vAlign w:val="bottom"/>
                </w:tcPr>
                <w:p w:rsidR="00A97FD0" w:rsidRDefault="00A97FD0" w:rsidP="00193E93">
                  <w:pPr>
                    <w:framePr w:hSpace="181" w:wrap="around" w:vAnchor="page" w:hAnchor="page" w:xAlign="center" w:y="2269"/>
                    <w:spacing w:after="0" w:line="240" w:lineRule="auto"/>
                    <w:suppressOverlap/>
                    <w:jc w:val="center"/>
                    <w:rPr>
                      <w:b/>
                      <w:bCs/>
                      <w:color w:val="FFFFFF"/>
                      <w:sz w:val="24"/>
                      <w:szCs w:val="24"/>
                    </w:rPr>
                  </w:pPr>
                  <w:r w:rsidRPr="000E2E34">
                    <w:rPr>
                      <w:b/>
                      <w:bCs/>
                      <w:color w:val="FFFFFF"/>
                      <w:sz w:val="24"/>
                      <w:szCs w:val="24"/>
                    </w:rPr>
                    <w:t>€ 435</w:t>
                  </w:r>
                  <w:r>
                    <w:rPr>
                      <w:b/>
                      <w:bCs/>
                      <w:color w:val="FFFFFF"/>
                      <w:sz w:val="24"/>
                      <w:szCs w:val="24"/>
                    </w:rPr>
                    <w:t xml:space="preserve">δισ. </w:t>
                  </w:r>
                </w:p>
                <w:p w:rsidR="00A97FD0" w:rsidRPr="001A261D" w:rsidRDefault="00A97FD0" w:rsidP="00193E93">
                  <w:pPr>
                    <w:framePr w:hSpace="181" w:wrap="around" w:vAnchor="page" w:hAnchor="page" w:xAlign="center" w:y="2269"/>
                    <w:spacing w:after="0" w:line="240" w:lineRule="auto"/>
                    <w:suppressOverlap/>
                    <w:jc w:val="center"/>
                    <w:rPr>
                      <w:b/>
                      <w:bCs/>
                      <w:color w:val="FFFFFF"/>
                      <w:sz w:val="24"/>
                      <w:szCs w:val="24"/>
                    </w:rPr>
                  </w:pPr>
                  <w:r>
                    <w:rPr>
                      <w:b/>
                      <w:bCs/>
                      <w:color w:val="FFFFFF"/>
                      <w:sz w:val="24"/>
                      <w:szCs w:val="24"/>
                    </w:rPr>
                    <w:t>72% συνόλου</w:t>
                  </w:r>
                  <w:r w:rsidRPr="00CA235F">
                    <w:rPr>
                      <w:b/>
                      <w:bCs/>
                      <w:color w:val="FFFFFF"/>
                      <w:sz w:val="20"/>
                      <w:szCs w:val="20"/>
                    </w:rPr>
                    <w:t>*</w:t>
                  </w:r>
                </w:p>
              </w:tc>
              <w:tc>
                <w:tcPr>
                  <w:tcW w:w="2126" w:type="dxa"/>
                  <w:tcBorders>
                    <w:left w:val="single" w:sz="48" w:space="0" w:color="FFFFFF"/>
                    <w:bottom w:val="single" w:sz="48" w:space="0" w:color="FFFFFF"/>
                    <w:right w:val="single" w:sz="48" w:space="0" w:color="FFFFFF"/>
                  </w:tcBorders>
                  <w:shd w:val="clear" w:color="auto" w:fill="365F91"/>
                  <w:noWrap/>
                  <w:vAlign w:val="bottom"/>
                </w:tcPr>
                <w:p w:rsidR="00A97FD0" w:rsidRDefault="00A97FD0" w:rsidP="00193E93">
                  <w:pPr>
                    <w:framePr w:hSpace="181" w:wrap="around" w:vAnchor="page" w:hAnchor="page" w:xAlign="center" w:y="2269"/>
                    <w:spacing w:after="0" w:line="240" w:lineRule="auto"/>
                    <w:suppressOverlap/>
                    <w:jc w:val="center"/>
                    <w:rPr>
                      <w:b/>
                      <w:bCs/>
                      <w:color w:val="FFFFFF"/>
                      <w:sz w:val="24"/>
                      <w:szCs w:val="24"/>
                    </w:rPr>
                  </w:pPr>
                  <w:r w:rsidRPr="000E2E34">
                    <w:rPr>
                      <w:b/>
                      <w:bCs/>
                      <w:color w:val="FFFFFF"/>
                      <w:sz w:val="24"/>
                      <w:szCs w:val="24"/>
                    </w:rPr>
                    <w:t xml:space="preserve">€ 58 </w:t>
                  </w:r>
                  <w:r>
                    <w:rPr>
                      <w:b/>
                      <w:bCs/>
                      <w:color w:val="FFFFFF"/>
                      <w:sz w:val="24"/>
                      <w:szCs w:val="24"/>
                    </w:rPr>
                    <w:t xml:space="preserve">δισ. </w:t>
                  </w:r>
                </w:p>
                <w:p w:rsidR="00A97FD0" w:rsidRPr="001A261D" w:rsidRDefault="00A97FD0" w:rsidP="00193E93">
                  <w:pPr>
                    <w:framePr w:hSpace="181" w:wrap="around" w:vAnchor="page" w:hAnchor="page" w:xAlign="center" w:y="2269"/>
                    <w:spacing w:after="0" w:line="240" w:lineRule="auto"/>
                    <w:suppressOverlap/>
                    <w:jc w:val="center"/>
                    <w:rPr>
                      <w:b/>
                      <w:bCs/>
                      <w:color w:val="FFFFFF"/>
                      <w:sz w:val="24"/>
                      <w:szCs w:val="24"/>
                    </w:rPr>
                  </w:pPr>
                  <w:r>
                    <w:rPr>
                      <w:b/>
                      <w:bCs/>
                      <w:color w:val="FFFFFF"/>
                      <w:sz w:val="24"/>
                      <w:szCs w:val="24"/>
                    </w:rPr>
                    <w:t>44% συνόλου</w:t>
                  </w:r>
                  <w:r w:rsidRPr="00CA235F">
                    <w:rPr>
                      <w:b/>
                      <w:bCs/>
                      <w:color w:val="FFFFFF"/>
                      <w:sz w:val="20"/>
                      <w:szCs w:val="20"/>
                    </w:rPr>
                    <w:t>*</w:t>
                  </w:r>
                </w:p>
              </w:tc>
              <w:tc>
                <w:tcPr>
                  <w:tcW w:w="2268" w:type="dxa"/>
                  <w:tcBorders>
                    <w:left w:val="single" w:sz="48" w:space="0" w:color="FFFFFF"/>
                    <w:bottom w:val="single" w:sz="48" w:space="0" w:color="FFFFFF"/>
                    <w:right w:val="single" w:sz="48" w:space="0" w:color="FFFFFF"/>
                  </w:tcBorders>
                  <w:shd w:val="clear" w:color="auto" w:fill="365F91"/>
                  <w:noWrap/>
                  <w:vAlign w:val="bottom"/>
                </w:tcPr>
                <w:p w:rsidR="00A97FD0" w:rsidRDefault="00A97FD0" w:rsidP="00193E93">
                  <w:pPr>
                    <w:framePr w:hSpace="181" w:wrap="around" w:vAnchor="page" w:hAnchor="page" w:xAlign="center" w:y="2269"/>
                    <w:spacing w:after="0" w:line="240" w:lineRule="auto"/>
                    <w:suppressOverlap/>
                    <w:jc w:val="center"/>
                    <w:rPr>
                      <w:b/>
                      <w:bCs/>
                      <w:color w:val="FFFFFF"/>
                      <w:sz w:val="24"/>
                      <w:szCs w:val="24"/>
                    </w:rPr>
                  </w:pPr>
                  <w:r w:rsidRPr="000E2E34">
                    <w:rPr>
                      <w:b/>
                      <w:bCs/>
                      <w:color w:val="FFFFFF"/>
                      <w:sz w:val="24"/>
                      <w:szCs w:val="24"/>
                    </w:rPr>
                    <w:t xml:space="preserve">€ </w:t>
                  </w:r>
                  <w:r w:rsidRPr="001A261D">
                    <w:rPr>
                      <w:b/>
                      <w:bCs/>
                      <w:color w:val="FFFFFF"/>
                      <w:sz w:val="24"/>
                      <w:szCs w:val="24"/>
                    </w:rPr>
                    <w:t xml:space="preserve">77 </w:t>
                  </w:r>
                  <w:r>
                    <w:rPr>
                      <w:b/>
                      <w:bCs/>
                      <w:color w:val="FFFFFF"/>
                      <w:sz w:val="24"/>
                      <w:szCs w:val="24"/>
                    </w:rPr>
                    <w:t xml:space="preserve">δισ. </w:t>
                  </w:r>
                </w:p>
                <w:p w:rsidR="00A97FD0" w:rsidRPr="001A261D" w:rsidRDefault="00A97FD0" w:rsidP="00193E93">
                  <w:pPr>
                    <w:framePr w:hSpace="181" w:wrap="around" w:vAnchor="page" w:hAnchor="page" w:xAlign="center" w:y="2269"/>
                    <w:spacing w:after="0" w:line="240" w:lineRule="auto"/>
                    <w:suppressOverlap/>
                    <w:jc w:val="center"/>
                    <w:rPr>
                      <w:b/>
                      <w:bCs/>
                      <w:color w:val="FFFFFF"/>
                      <w:sz w:val="24"/>
                      <w:szCs w:val="24"/>
                    </w:rPr>
                  </w:pPr>
                  <w:r>
                    <w:rPr>
                      <w:b/>
                      <w:bCs/>
                      <w:color w:val="FFFFFF"/>
                      <w:sz w:val="24"/>
                      <w:szCs w:val="24"/>
                    </w:rPr>
                    <w:t>46% συνόλου</w:t>
                  </w:r>
                  <w:r w:rsidRPr="00CA235F">
                    <w:rPr>
                      <w:b/>
                      <w:bCs/>
                      <w:color w:val="FFFFFF"/>
                      <w:sz w:val="20"/>
                      <w:szCs w:val="20"/>
                    </w:rPr>
                    <w:t>*</w:t>
                  </w:r>
                </w:p>
              </w:tc>
              <w:tc>
                <w:tcPr>
                  <w:tcW w:w="2694" w:type="dxa"/>
                  <w:tcBorders>
                    <w:left w:val="single" w:sz="48" w:space="0" w:color="FFFFFF"/>
                    <w:bottom w:val="single" w:sz="48" w:space="0" w:color="FFFFFF"/>
                  </w:tcBorders>
                  <w:shd w:val="clear" w:color="auto" w:fill="365F91"/>
                  <w:noWrap/>
                  <w:vAlign w:val="bottom"/>
                </w:tcPr>
                <w:p w:rsidR="00A97FD0" w:rsidRDefault="00A97FD0" w:rsidP="00193E93">
                  <w:pPr>
                    <w:framePr w:hSpace="181" w:wrap="around" w:vAnchor="page" w:hAnchor="page" w:xAlign="center" w:y="2269"/>
                    <w:spacing w:after="0" w:line="240" w:lineRule="auto"/>
                    <w:suppressOverlap/>
                    <w:jc w:val="center"/>
                    <w:rPr>
                      <w:b/>
                      <w:bCs/>
                      <w:color w:val="FFFFFF"/>
                      <w:sz w:val="24"/>
                      <w:szCs w:val="24"/>
                    </w:rPr>
                  </w:pPr>
                  <w:r w:rsidRPr="000E2E34">
                    <w:rPr>
                      <w:b/>
                      <w:bCs/>
                      <w:color w:val="FFFFFF"/>
                      <w:sz w:val="24"/>
                      <w:szCs w:val="24"/>
                    </w:rPr>
                    <w:t xml:space="preserve">€ </w:t>
                  </w:r>
                  <w:r w:rsidRPr="001A261D">
                    <w:rPr>
                      <w:b/>
                      <w:bCs/>
                      <w:color w:val="FFFFFF"/>
                      <w:sz w:val="24"/>
                      <w:szCs w:val="24"/>
                    </w:rPr>
                    <w:t xml:space="preserve">2,4 </w:t>
                  </w:r>
                  <w:r>
                    <w:rPr>
                      <w:b/>
                      <w:bCs/>
                      <w:color w:val="FFFFFF"/>
                      <w:sz w:val="24"/>
                      <w:szCs w:val="24"/>
                    </w:rPr>
                    <w:t xml:space="preserve">δισ. </w:t>
                  </w:r>
                  <w:r w:rsidRPr="00CA235F">
                    <w:rPr>
                      <w:b/>
                      <w:bCs/>
                      <w:color w:val="FFFFFF"/>
                      <w:sz w:val="20"/>
                      <w:szCs w:val="20"/>
                    </w:rPr>
                    <w:t>**</w:t>
                  </w:r>
                </w:p>
                <w:p w:rsidR="00A97FD0" w:rsidRPr="001A261D" w:rsidRDefault="00A97FD0" w:rsidP="00193E93">
                  <w:pPr>
                    <w:framePr w:hSpace="181" w:wrap="around" w:vAnchor="page" w:hAnchor="page" w:xAlign="center" w:y="2269"/>
                    <w:spacing w:after="0" w:line="240" w:lineRule="auto"/>
                    <w:suppressOverlap/>
                    <w:jc w:val="center"/>
                    <w:rPr>
                      <w:b/>
                      <w:bCs/>
                      <w:color w:val="FFFFFF"/>
                      <w:sz w:val="24"/>
                      <w:szCs w:val="24"/>
                    </w:rPr>
                  </w:pPr>
                  <w:r>
                    <w:rPr>
                      <w:b/>
                      <w:bCs/>
                      <w:color w:val="FFFFFF"/>
                      <w:sz w:val="24"/>
                      <w:szCs w:val="24"/>
                    </w:rPr>
                    <w:t>44% κερδών</w:t>
                  </w:r>
                  <w:r w:rsidRPr="00CA235F">
                    <w:rPr>
                      <w:b/>
                      <w:bCs/>
                      <w:color w:val="FFFFFF"/>
                      <w:sz w:val="20"/>
                      <w:szCs w:val="20"/>
                    </w:rPr>
                    <w:t>***</w:t>
                  </w:r>
                </w:p>
              </w:tc>
            </w:tr>
            <w:tr w:rsidR="00A97FD0" w:rsidRPr="00124C09" w:rsidTr="0005095E">
              <w:trPr>
                <w:trHeight w:val="20"/>
                <w:jc w:val="center"/>
              </w:trPr>
              <w:tc>
                <w:tcPr>
                  <w:tcW w:w="2410" w:type="dxa"/>
                  <w:tcBorders>
                    <w:top w:val="single" w:sz="48" w:space="0" w:color="FFFFFF"/>
                    <w:right w:val="single" w:sz="48" w:space="0" w:color="FFFFFF"/>
                  </w:tcBorders>
                  <w:shd w:val="clear" w:color="auto" w:fill="365F91"/>
                  <w:noWrap/>
                  <w:vAlign w:val="bottom"/>
                </w:tcPr>
                <w:p w:rsidR="00A97FD0" w:rsidRPr="001A261D" w:rsidRDefault="00A97FD0" w:rsidP="00193E93">
                  <w:pPr>
                    <w:framePr w:hSpace="181" w:wrap="around" w:vAnchor="page" w:hAnchor="page" w:xAlign="center" w:y="2269"/>
                    <w:spacing w:after="0" w:line="240" w:lineRule="auto"/>
                    <w:suppressOverlap/>
                    <w:jc w:val="center"/>
                    <w:rPr>
                      <w:b/>
                      <w:bCs/>
                      <w:color w:val="FFFFFF"/>
                      <w:sz w:val="24"/>
                      <w:szCs w:val="24"/>
                    </w:rPr>
                  </w:pPr>
                  <w:r w:rsidRPr="001A261D">
                    <w:rPr>
                      <w:b/>
                      <w:bCs/>
                      <w:color w:val="FFFFFF"/>
                      <w:sz w:val="24"/>
                      <w:szCs w:val="24"/>
                    </w:rPr>
                    <w:t>Εργαζόμενοι</w:t>
                  </w:r>
                </w:p>
              </w:tc>
              <w:tc>
                <w:tcPr>
                  <w:tcW w:w="2126" w:type="dxa"/>
                  <w:tcBorders>
                    <w:top w:val="single" w:sz="48" w:space="0" w:color="FFFFFF"/>
                    <w:left w:val="single" w:sz="48" w:space="0" w:color="FFFFFF"/>
                    <w:right w:val="single" w:sz="48" w:space="0" w:color="FFFFFF"/>
                  </w:tcBorders>
                  <w:shd w:val="clear" w:color="auto" w:fill="365F91"/>
                  <w:noWrap/>
                  <w:vAlign w:val="bottom"/>
                </w:tcPr>
                <w:p w:rsidR="00A97FD0" w:rsidRPr="006F1877" w:rsidRDefault="00A97FD0" w:rsidP="00193E93">
                  <w:pPr>
                    <w:framePr w:hSpace="181" w:wrap="around" w:vAnchor="page" w:hAnchor="page" w:xAlign="center" w:y="2269"/>
                    <w:spacing w:after="0" w:line="240" w:lineRule="auto"/>
                    <w:suppressOverlap/>
                    <w:jc w:val="center"/>
                    <w:rPr>
                      <w:b/>
                      <w:bCs/>
                      <w:color w:val="FFFFFF"/>
                      <w:sz w:val="24"/>
                      <w:szCs w:val="24"/>
                    </w:rPr>
                  </w:pPr>
                  <w:r>
                    <w:rPr>
                      <w:b/>
                      <w:bCs/>
                      <w:color w:val="FFFFFF"/>
                      <w:sz w:val="24"/>
                      <w:szCs w:val="24"/>
                    </w:rPr>
                    <w:t>Μισθοί</w:t>
                  </w:r>
                </w:p>
              </w:tc>
              <w:tc>
                <w:tcPr>
                  <w:tcW w:w="2268" w:type="dxa"/>
                  <w:tcBorders>
                    <w:top w:val="single" w:sz="48" w:space="0" w:color="FFFFFF"/>
                    <w:left w:val="single" w:sz="48" w:space="0" w:color="FFFFFF"/>
                    <w:right w:val="single" w:sz="48" w:space="0" w:color="FFFFFF"/>
                  </w:tcBorders>
                  <w:shd w:val="clear" w:color="auto" w:fill="365F91"/>
                  <w:noWrap/>
                  <w:vAlign w:val="bottom"/>
                </w:tcPr>
                <w:p w:rsidR="00A97FD0" w:rsidRPr="001A261D" w:rsidRDefault="00A97FD0" w:rsidP="00193E93">
                  <w:pPr>
                    <w:framePr w:hSpace="181" w:wrap="around" w:vAnchor="page" w:hAnchor="page" w:xAlign="center" w:y="2269"/>
                    <w:spacing w:after="0" w:line="240" w:lineRule="auto"/>
                    <w:suppressOverlap/>
                    <w:jc w:val="center"/>
                    <w:rPr>
                      <w:b/>
                      <w:bCs/>
                      <w:color w:val="FFFFFF"/>
                      <w:sz w:val="24"/>
                      <w:szCs w:val="24"/>
                    </w:rPr>
                  </w:pPr>
                  <w:r w:rsidRPr="001A261D">
                    <w:rPr>
                      <w:b/>
                      <w:bCs/>
                      <w:color w:val="FFFFFF"/>
                      <w:sz w:val="24"/>
                      <w:szCs w:val="24"/>
                    </w:rPr>
                    <w:t>Ασφ</w:t>
                  </w:r>
                  <w:r>
                    <w:rPr>
                      <w:b/>
                      <w:bCs/>
                      <w:color w:val="FFFFFF"/>
                      <w:sz w:val="24"/>
                      <w:szCs w:val="24"/>
                    </w:rPr>
                    <w:t>αλ.</w:t>
                  </w:r>
                  <w:r w:rsidRPr="001A261D">
                    <w:rPr>
                      <w:b/>
                      <w:bCs/>
                      <w:color w:val="FFFFFF"/>
                      <w:sz w:val="24"/>
                      <w:szCs w:val="24"/>
                    </w:rPr>
                    <w:t xml:space="preserve"> εισφορές   </w:t>
                  </w:r>
                </w:p>
              </w:tc>
              <w:tc>
                <w:tcPr>
                  <w:tcW w:w="2694" w:type="dxa"/>
                  <w:tcBorders>
                    <w:top w:val="single" w:sz="48" w:space="0" w:color="FFFFFF"/>
                    <w:left w:val="single" w:sz="48" w:space="0" w:color="FFFFFF"/>
                  </w:tcBorders>
                  <w:shd w:val="clear" w:color="auto" w:fill="365F91"/>
                  <w:noWrap/>
                  <w:vAlign w:val="bottom"/>
                </w:tcPr>
                <w:p w:rsidR="00A97FD0" w:rsidRPr="001A261D" w:rsidRDefault="00A97FD0" w:rsidP="00193E93">
                  <w:pPr>
                    <w:framePr w:hSpace="181" w:wrap="around" w:vAnchor="page" w:hAnchor="page" w:xAlign="center" w:y="2269"/>
                    <w:spacing w:after="0" w:line="240" w:lineRule="auto"/>
                    <w:suppressOverlap/>
                    <w:jc w:val="center"/>
                    <w:rPr>
                      <w:b/>
                      <w:bCs/>
                      <w:color w:val="FFFFFF"/>
                      <w:sz w:val="24"/>
                      <w:szCs w:val="24"/>
                    </w:rPr>
                  </w:pPr>
                  <w:r w:rsidRPr="001A261D">
                    <w:rPr>
                      <w:b/>
                      <w:bCs/>
                      <w:color w:val="FFFFFF"/>
                      <w:sz w:val="24"/>
                      <w:szCs w:val="24"/>
                    </w:rPr>
                    <w:t>Φόρος επί κ</w:t>
                  </w:r>
                  <w:r>
                    <w:rPr>
                      <w:b/>
                      <w:bCs/>
                      <w:color w:val="FFFFFF"/>
                      <w:sz w:val="24"/>
                      <w:szCs w:val="24"/>
                    </w:rPr>
                    <w:t>ε</w:t>
                  </w:r>
                  <w:r w:rsidRPr="001A261D">
                    <w:rPr>
                      <w:b/>
                      <w:bCs/>
                      <w:color w:val="FFFFFF"/>
                      <w:sz w:val="24"/>
                      <w:szCs w:val="24"/>
                    </w:rPr>
                    <w:t xml:space="preserve">ρδών   </w:t>
                  </w:r>
                </w:p>
              </w:tc>
            </w:tr>
            <w:tr w:rsidR="00A97FD0" w:rsidRPr="00124C09" w:rsidTr="0005095E">
              <w:trPr>
                <w:trHeight w:val="20"/>
                <w:jc w:val="center"/>
              </w:trPr>
              <w:tc>
                <w:tcPr>
                  <w:tcW w:w="2410" w:type="dxa"/>
                  <w:tcBorders>
                    <w:right w:val="single" w:sz="48" w:space="0" w:color="FFFFFF"/>
                  </w:tcBorders>
                  <w:shd w:val="clear" w:color="auto" w:fill="365F91"/>
                  <w:noWrap/>
                  <w:vAlign w:val="bottom"/>
                </w:tcPr>
                <w:p w:rsidR="00A97FD0" w:rsidRPr="001A261D" w:rsidRDefault="00A97FD0" w:rsidP="00193E93">
                  <w:pPr>
                    <w:framePr w:hSpace="181" w:wrap="around" w:vAnchor="page" w:hAnchor="page" w:xAlign="center" w:y="2269"/>
                    <w:spacing w:after="0" w:line="240" w:lineRule="auto"/>
                    <w:suppressOverlap/>
                    <w:jc w:val="center"/>
                    <w:rPr>
                      <w:b/>
                      <w:bCs/>
                      <w:color w:val="FFFFFF"/>
                      <w:sz w:val="24"/>
                      <w:szCs w:val="24"/>
                    </w:rPr>
                  </w:pPr>
                  <w:r w:rsidRPr="001A261D">
                    <w:rPr>
                      <w:b/>
                      <w:bCs/>
                      <w:color w:val="FFFFFF"/>
                      <w:sz w:val="24"/>
                      <w:szCs w:val="24"/>
                    </w:rPr>
                    <w:t>220.000</w:t>
                  </w:r>
                </w:p>
              </w:tc>
              <w:tc>
                <w:tcPr>
                  <w:tcW w:w="2126" w:type="dxa"/>
                  <w:tcBorders>
                    <w:left w:val="single" w:sz="48" w:space="0" w:color="FFFFFF"/>
                    <w:right w:val="single" w:sz="48" w:space="0" w:color="FFFFFF"/>
                  </w:tcBorders>
                  <w:shd w:val="clear" w:color="auto" w:fill="365F91"/>
                  <w:noWrap/>
                  <w:vAlign w:val="bottom"/>
                </w:tcPr>
                <w:p w:rsidR="00A97FD0" w:rsidRPr="001A261D" w:rsidRDefault="00A97FD0" w:rsidP="00193E93">
                  <w:pPr>
                    <w:framePr w:hSpace="181" w:wrap="around" w:vAnchor="page" w:hAnchor="page" w:xAlign="center" w:y="2269"/>
                    <w:spacing w:after="0" w:line="240" w:lineRule="auto"/>
                    <w:suppressOverlap/>
                    <w:jc w:val="center"/>
                    <w:rPr>
                      <w:b/>
                      <w:bCs/>
                      <w:color w:val="FFFFFF"/>
                      <w:sz w:val="24"/>
                      <w:szCs w:val="24"/>
                    </w:rPr>
                  </w:pPr>
                  <w:r w:rsidRPr="001A261D">
                    <w:rPr>
                      <w:b/>
                      <w:bCs/>
                      <w:color w:val="FFFFFF"/>
                      <w:sz w:val="24"/>
                      <w:szCs w:val="24"/>
                    </w:rPr>
                    <w:t xml:space="preserve">€ 4,6 </w:t>
                  </w:r>
                  <w:r>
                    <w:rPr>
                      <w:b/>
                      <w:bCs/>
                      <w:color w:val="FFFFFF"/>
                      <w:sz w:val="24"/>
                      <w:szCs w:val="24"/>
                    </w:rPr>
                    <w:t xml:space="preserve">δισ. </w:t>
                  </w:r>
                </w:p>
              </w:tc>
              <w:tc>
                <w:tcPr>
                  <w:tcW w:w="2268" w:type="dxa"/>
                  <w:tcBorders>
                    <w:left w:val="single" w:sz="48" w:space="0" w:color="FFFFFF"/>
                    <w:right w:val="single" w:sz="48" w:space="0" w:color="FFFFFF"/>
                  </w:tcBorders>
                  <w:shd w:val="clear" w:color="auto" w:fill="365F91"/>
                  <w:noWrap/>
                  <w:vAlign w:val="bottom"/>
                </w:tcPr>
                <w:p w:rsidR="00A97FD0" w:rsidRPr="001A261D" w:rsidRDefault="00A97FD0" w:rsidP="00193E93">
                  <w:pPr>
                    <w:framePr w:hSpace="181" w:wrap="around" w:vAnchor="page" w:hAnchor="page" w:xAlign="center" w:y="2269"/>
                    <w:spacing w:after="0" w:line="240" w:lineRule="auto"/>
                    <w:suppressOverlap/>
                    <w:jc w:val="center"/>
                    <w:rPr>
                      <w:b/>
                      <w:bCs/>
                      <w:color w:val="FFFFFF"/>
                      <w:sz w:val="24"/>
                      <w:szCs w:val="24"/>
                    </w:rPr>
                  </w:pPr>
                  <w:r w:rsidRPr="001A261D">
                    <w:rPr>
                      <w:b/>
                      <w:bCs/>
                      <w:color w:val="FFFFFF"/>
                      <w:sz w:val="24"/>
                      <w:szCs w:val="24"/>
                    </w:rPr>
                    <w:t xml:space="preserve">€ 2 </w:t>
                  </w:r>
                  <w:r>
                    <w:rPr>
                      <w:b/>
                      <w:bCs/>
                      <w:color w:val="FFFFFF"/>
                      <w:sz w:val="24"/>
                      <w:szCs w:val="24"/>
                    </w:rPr>
                    <w:t xml:space="preserve">δισ. </w:t>
                  </w:r>
                </w:p>
              </w:tc>
              <w:tc>
                <w:tcPr>
                  <w:tcW w:w="2694" w:type="dxa"/>
                  <w:tcBorders>
                    <w:left w:val="single" w:sz="48" w:space="0" w:color="FFFFFF"/>
                  </w:tcBorders>
                  <w:shd w:val="clear" w:color="auto" w:fill="365F91"/>
                  <w:noWrap/>
                  <w:vAlign w:val="bottom"/>
                </w:tcPr>
                <w:p w:rsidR="00A97FD0" w:rsidRPr="001A261D" w:rsidRDefault="00A97FD0" w:rsidP="00193E93">
                  <w:pPr>
                    <w:framePr w:hSpace="181" w:wrap="around" w:vAnchor="page" w:hAnchor="page" w:xAlign="center" w:y="2269"/>
                    <w:spacing w:after="0" w:line="240" w:lineRule="auto"/>
                    <w:suppressOverlap/>
                    <w:jc w:val="center"/>
                    <w:rPr>
                      <w:b/>
                      <w:bCs/>
                      <w:color w:val="FFFFFF"/>
                      <w:sz w:val="24"/>
                      <w:szCs w:val="24"/>
                    </w:rPr>
                  </w:pPr>
                  <w:r w:rsidRPr="001A261D">
                    <w:rPr>
                      <w:b/>
                      <w:bCs/>
                      <w:color w:val="FFFFFF"/>
                      <w:sz w:val="24"/>
                      <w:szCs w:val="24"/>
                    </w:rPr>
                    <w:t xml:space="preserve">€ 1,6 </w:t>
                  </w:r>
                  <w:r>
                    <w:rPr>
                      <w:b/>
                      <w:bCs/>
                      <w:color w:val="FFFFFF"/>
                      <w:sz w:val="24"/>
                      <w:szCs w:val="24"/>
                    </w:rPr>
                    <w:t xml:space="preserve">δισ. </w:t>
                  </w:r>
                </w:p>
              </w:tc>
            </w:tr>
          </w:tbl>
          <w:p w:rsidR="00A97FD0" w:rsidRPr="00124C09" w:rsidRDefault="00A97FD0" w:rsidP="00124C09">
            <w:pPr>
              <w:spacing w:after="0" w:line="240" w:lineRule="auto"/>
              <w:ind w:left="426" w:right="543"/>
              <w:jc w:val="both"/>
              <w:rPr>
                <w:bCs/>
                <w:color w:val="1F497D"/>
                <w:sz w:val="12"/>
                <w:szCs w:val="12"/>
                <w:lang w:eastAsia="el-GR"/>
              </w:rPr>
            </w:pPr>
          </w:p>
          <w:p w:rsidR="00A97FD0" w:rsidRPr="00124C09" w:rsidRDefault="00A97FD0" w:rsidP="00124C09">
            <w:pPr>
              <w:spacing w:after="0" w:line="240" w:lineRule="auto"/>
              <w:ind w:left="426" w:right="543"/>
              <w:jc w:val="both"/>
              <w:rPr>
                <w:bCs/>
                <w:color w:val="1F497D"/>
                <w:sz w:val="14"/>
                <w:szCs w:val="14"/>
                <w:lang w:eastAsia="el-GR"/>
              </w:rPr>
            </w:pPr>
            <w:r w:rsidRPr="00124C09">
              <w:rPr>
                <w:bCs/>
                <w:color w:val="1F497D"/>
                <w:sz w:val="14"/>
                <w:szCs w:val="14"/>
                <w:lang w:eastAsia="el-GR"/>
              </w:rPr>
              <w:t>* Άθροισμα δημοσιευμένων ισολογισμών ΑΕ και ΕΠΕ</w:t>
            </w:r>
          </w:p>
          <w:p w:rsidR="00A97FD0" w:rsidRPr="00124C09" w:rsidRDefault="00A97FD0" w:rsidP="00124C09">
            <w:pPr>
              <w:spacing w:after="0" w:line="240" w:lineRule="auto"/>
              <w:ind w:left="426" w:right="543"/>
              <w:rPr>
                <w:bCs/>
                <w:color w:val="1F497D"/>
                <w:sz w:val="14"/>
                <w:szCs w:val="14"/>
                <w:lang w:eastAsia="el-GR"/>
              </w:rPr>
            </w:pPr>
            <w:r w:rsidRPr="00124C09">
              <w:rPr>
                <w:bCs/>
                <w:color w:val="1F497D"/>
                <w:sz w:val="14"/>
                <w:szCs w:val="14"/>
                <w:lang w:eastAsia="el-GR"/>
              </w:rPr>
              <w:t>** Άθροισμα κερδών και ζημιών όλων των επιχειρήσεων</w:t>
            </w:r>
          </w:p>
          <w:p w:rsidR="00A97FD0" w:rsidRPr="00124C09" w:rsidRDefault="00A97FD0" w:rsidP="00124C09">
            <w:pPr>
              <w:spacing w:after="0" w:line="240" w:lineRule="auto"/>
              <w:ind w:left="426"/>
              <w:rPr>
                <w:bCs/>
                <w:color w:val="1F497D"/>
                <w:sz w:val="14"/>
                <w:szCs w:val="14"/>
                <w:lang w:val="en-US" w:eastAsia="el-GR"/>
              </w:rPr>
            </w:pPr>
            <w:r w:rsidRPr="00124C09">
              <w:rPr>
                <w:bCs/>
                <w:color w:val="1F497D"/>
                <w:sz w:val="14"/>
                <w:szCs w:val="14"/>
                <w:lang w:eastAsia="el-GR"/>
              </w:rPr>
              <w:t>*** Φορολογητέα κέρδη κερδοφόρων επιχειρήσεων</w:t>
            </w:r>
          </w:p>
          <w:p w:rsidR="00A97FD0" w:rsidRPr="00124C09" w:rsidRDefault="00A97FD0" w:rsidP="00124C09">
            <w:pPr>
              <w:spacing w:after="0" w:line="240" w:lineRule="auto"/>
              <w:ind w:left="709"/>
              <w:rPr>
                <w:noProof/>
                <w:lang w:val="en-US" w:eastAsia="el-GR"/>
              </w:rPr>
            </w:pPr>
          </w:p>
        </w:tc>
      </w:tr>
      <w:tr w:rsidR="00A97FD0" w:rsidRPr="00124C09" w:rsidTr="00124C09">
        <w:trPr>
          <w:trHeight w:val="1503"/>
        </w:trPr>
        <w:tc>
          <w:tcPr>
            <w:tcW w:w="10389" w:type="dxa"/>
            <w:gridSpan w:val="2"/>
          </w:tcPr>
          <w:p w:rsidR="00A97FD0" w:rsidRPr="00124C09" w:rsidRDefault="00A97FD0" w:rsidP="00124C09">
            <w:pPr>
              <w:spacing w:after="120" w:line="240" w:lineRule="auto"/>
              <w:ind w:left="284" w:right="249"/>
              <w:jc w:val="both"/>
              <w:rPr>
                <w:rStyle w:val="Strong"/>
                <w:color w:val="4F81BD"/>
                <w:sz w:val="24"/>
                <w:szCs w:val="24"/>
              </w:rPr>
            </w:pPr>
            <w:r w:rsidRPr="00124C09">
              <w:rPr>
                <w:rStyle w:val="Strong"/>
                <w:color w:val="4F81BD"/>
                <w:sz w:val="24"/>
                <w:szCs w:val="24"/>
              </w:rPr>
              <w:t>Όραμα</w:t>
            </w:r>
          </w:p>
          <w:p w:rsidR="00A97FD0" w:rsidRPr="00124C09" w:rsidRDefault="00A97FD0" w:rsidP="00124C09">
            <w:pPr>
              <w:spacing w:after="120" w:line="240" w:lineRule="auto"/>
              <w:ind w:left="284" w:right="249"/>
              <w:jc w:val="both"/>
              <w:rPr>
                <w:sz w:val="18"/>
                <w:szCs w:val="18"/>
              </w:rPr>
            </w:pPr>
            <w:r w:rsidRPr="00124C09">
              <w:rPr>
                <w:sz w:val="18"/>
                <w:szCs w:val="18"/>
              </w:rPr>
              <w:t xml:space="preserve">Οραματιζόμαστε την Ελλάδα ως τη χώρα, που κάθε πολίτης του κόσμου θα θέλει και θα μπορεί να επισκεφθεί, να ζήσει και να επενδύσει. </w:t>
            </w:r>
            <w:r w:rsidRPr="00124C09">
              <w:rPr>
                <w:sz w:val="18"/>
                <w:szCs w:val="18"/>
              </w:rPr>
              <w:br/>
              <w:t>Οραματιζόμαστε μια ανοιχτή, κοινωνικά υπεύθυνη και οικονομικά φιλελεύθερη χώρα-μέλος της Ευρωπαϊκής Ένωσης, που προτάσσει την ισχυρή ανάπτυξη ως παράγοντα κοινωνικής συνοχής.</w:t>
            </w:r>
          </w:p>
          <w:p w:rsidR="00A97FD0" w:rsidRPr="00124C09" w:rsidRDefault="00A97FD0" w:rsidP="00124C09">
            <w:pPr>
              <w:spacing w:after="0" w:line="240" w:lineRule="auto"/>
              <w:ind w:left="284" w:right="250"/>
              <w:jc w:val="both"/>
              <w:rPr>
                <w:sz w:val="18"/>
                <w:szCs w:val="18"/>
              </w:rPr>
            </w:pPr>
            <w:r w:rsidRPr="00124C09">
              <w:rPr>
                <w:sz w:val="18"/>
                <w:szCs w:val="18"/>
              </w:rPr>
              <w:t>Θέλουμε μια Ελλάδα δυναμικό κέντρο της ευρωπαϊκής περιφέρειας, με στέρεους θεσμούς, ελκυστικό κοινωνικό και οικονομικό περιβάλλον, που προάγει τις εξαγωγές, την καινοτόμο επιχειρηματικότητα, την παραγωγή και τις ποιοτικές υπηρεσίες, τη βιώσιμη ανάπτυξη, τη γνώση, τη συνοχή, τις ίσες ευκαιρίες και το κράτος δικαίου.</w:t>
            </w:r>
          </w:p>
          <w:p w:rsidR="00A97FD0" w:rsidRPr="00124C09" w:rsidRDefault="00A97FD0" w:rsidP="00124C09">
            <w:pPr>
              <w:spacing w:after="120" w:line="240" w:lineRule="auto"/>
              <w:ind w:left="284" w:right="249"/>
              <w:jc w:val="both"/>
              <w:rPr>
                <w:rStyle w:val="Strong"/>
                <w:color w:val="4F81BD"/>
                <w:sz w:val="24"/>
                <w:szCs w:val="24"/>
              </w:rPr>
            </w:pPr>
            <w:r w:rsidRPr="00124C09">
              <w:rPr>
                <w:color w:val="595959"/>
                <w:sz w:val="18"/>
                <w:szCs w:val="18"/>
              </w:rPr>
              <w:br/>
            </w:r>
            <w:r w:rsidRPr="00124C09">
              <w:rPr>
                <w:rStyle w:val="Strong"/>
                <w:color w:val="4F81BD"/>
                <w:sz w:val="24"/>
                <w:szCs w:val="24"/>
              </w:rPr>
              <w:t>Αποστολή</w:t>
            </w:r>
          </w:p>
          <w:p w:rsidR="00A97FD0" w:rsidRPr="00124C09" w:rsidRDefault="00A97FD0" w:rsidP="00124C09">
            <w:pPr>
              <w:spacing w:after="0" w:line="240" w:lineRule="auto"/>
              <w:ind w:left="284" w:right="249"/>
              <w:jc w:val="both"/>
              <w:rPr>
                <w:rStyle w:val="Strong"/>
                <w:sz w:val="18"/>
                <w:szCs w:val="18"/>
              </w:rPr>
            </w:pPr>
            <w:r w:rsidRPr="00124C09">
              <w:rPr>
                <w:rStyle w:val="Strong"/>
                <w:sz w:val="18"/>
                <w:szCs w:val="18"/>
              </w:rPr>
              <w:t>Ηγεσία &amp; Γνώση</w:t>
            </w:r>
          </w:p>
          <w:p w:rsidR="00A97FD0" w:rsidRPr="00124C09" w:rsidRDefault="00A97FD0" w:rsidP="00124C09">
            <w:pPr>
              <w:spacing w:after="0" w:line="240" w:lineRule="auto"/>
              <w:ind w:left="284" w:right="249"/>
              <w:jc w:val="both"/>
              <w:rPr>
                <w:sz w:val="18"/>
                <w:szCs w:val="18"/>
              </w:rPr>
            </w:pPr>
            <w:r w:rsidRPr="00124C09">
              <w:rPr>
                <w:sz w:val="18"/>
                <w:szCs w:val="18"/>
              </w:rPr>
              <w:t>Ο ΣΕΒ διαδραματίζει ηγετικό ρόλο στον μετασχηματισμό της Ελλάδας σε μια παραγωγική, εξωστρεφή και ανταγωνιστική οικονομία, ως ανεξάρτητος και υπεύθυνος εκπρόσωπος της ιδιωτικής οικονομίας.</w:t>
            </w:r>
          </w:p>
          <w:p w:rsidR="00A97FD0" w:rsidRPr="00124C09" w:rsidRDefault="00A97FD0" w:rsidP="00124C09">
            <w:pPr>
              <w:spacing w:before="120" w:after="0" w:line="240" w:lineRule="auto"/>
              <w:ind w:left="284" w:right="249"/>
              <w:jc w:val="both"/>
              <w:rPr>
                <w:rStyle w:val="Strong"/>
                <w:sz w:val="18"/>
                <w:szCs w:val="18"/>
              </w:rPr>
            </w:pPr>
            <w:r w:rsidRPr="00124C09">
              <w:rPr>
                <w:rStyle w:val="Strong"/>
                <w:sz w:val="18"/>
                <w:szCs w:val="18"/>
              </w:rPr>
              <w:t>Κοινωνικός Εταίρος</w:t>
            </w:r>
          </w:p>
          <w:p w:rsidR="00A97FD0" w:rsidRPr="00124C09" w:rsidRDefault="00A97FD0" w:rsidP="00124C09">
            <w:pPr>
              <w:spacing w:after="0" w:line="240" w:lineRule="auto"/>
              <w:ind w:left="284" w:right="249"/>
              <w:jc w:val="both"/>
              <w:rPr>
                <w:sz w:val="18"/>
                <w:szCs w:val="18"/>
              </w:rPr>
            </w:pPr>
            <w:r w:rsidRPr="00124C09">
              <w:rPr>
                <w:sz w:val="18"/>
                <w:szCs w:val="18"/>
              </w:rPr>
              <w:t>Ο ΣΕΒ, ως κοινωνικός εταίρος που πιστεύει στη λειτουργία των θεσμών, προωθεί στα αρμόδια όργανα της Πολιτείας και της Ε.Ε. τις απόψεις και θέσεις της επιχειρηματικής κοινότητας.</w:t>
            </w:r>
          </w:p>
          <w:p w:rsidR="00A97FD0" w:rsidRPr="00124C09" w:rsidRDefault="00A97FD0" w:rsidP="00124C09">
            <w:pPr>
              <w:spacing w:before="120" w:after="0" w:line="240" w:lineRule="auto"/>
              <w:ind w:left="284" w:right="249"/>
              <w:jc w:val="both"/>
              <w:rPr>
                <w:rStyle w:val="Strong"/>
                <w:sz w:val="18"/>
                <w:szCs w:val="18"/>
              </w:rPr>
            </w:pPr>
            <w:r w:rsidRPr="00124C09">
              <w:rPr>
                <w:rStyle w:val="Strong"/>
                <w:sz w:val="18"/>
                <w:szCs w:val="18"/>
              </w:rPr>
              <w:t>Ισχυρός Εκπρόσωπος</w:t>
            </w:r>
          </w:p>
          <w:p w:rsidR="00A97FD0" w:rsidRPr="00124C09" w:rsidRDefault="00A97FD0" w:rsidP="00124C09">
            <w:pPr>
              <w:spacing w:after="0" w:line="240" w:lineRule="auto"/>
              <w:ind w:left="284" w:right="249"/>
              <w:jc w:val="both"/>
              <w:rPr>
                <w:sz w:val="18"/>
                <w:szCs w:val="18"/>
              </w:rPr>
            </w:pPr>
            <w:r w:rsidRPr="00124C09">
              <w:rPr>
                <w:sz w:val="18"/>
                <w:szCs w:val="18"/>
              </w:rPr>
              <w:t>Ο ΣΕΒ διαμορφώνει θέσεις, αναλύσεις και προτάσεις πολιτικής για την οικονομία, τη βιομηχανία, την καινοτομία, την απασχόληση, την παιδεία και τις εργασιακές δεξιότητες, τον κοινωνικό διάλογο, τη βιώσιμη ανάπτυξη, την εταιρική υπευθυνότητα.</w:t>
            </w:r>
          </w:p>
          <w:p w:rsidR="00A97FD0" w:rsidRPr="00124C09" w:rsidRDefault="00A97FD0" w:rsidP="00124C09">
            <w:pPr>
              <w:spacing w:before="120" w:after="0" w:line="240" w:lineRule="auto"/>
              <w:ind w:left="284" w:right="249"/>
              <w:jc w:val="both"/>
              <w:rPr>
                <w:rStyle w:val="Strong"/>
                <w:sz w:val="18"/>
                <w:szCs w:val="18"/>
              </w:rPr>
            </w:pPr>
            <w:r w:rsidRPr="00124C09">
              <w:rPr>
                <w:rStyle w:val="Strong"/>
                <w:sz w:val="18"/>
                <w:szCs w:val="18"/>
              </w:rPr>
              <w:t>Φορέας Δικτύωσης</w:t>
            </w:r>
          </w:p>
          <w:p w:rsidR="00A97FD0" w:rsidRPr="00124C09" w:rsidRDefault="00A97FD0" w:rsidP="00124C09">
            <w:pPr>
              <w:spacing w:after="0" w:line="240" w:lineRule="auto"/>
              <w:ind w:left="284" w:right="249"/>
              <w:jc w:val="both"/>
              <w:rPr>
                <w:noProof/>
                <w:lang w:eastAsia="el-GR"/>
              </w:rPr>
            </w:pPr>
            <w:r w:rsidRPr="00124C09">
              <w:rPr>
                <w:sz w:val="18"/>
                <w:szCs w:val="18"/>
              </w:rPr>
              <w:t>Ο ΣΕΒ δικτυώνει τα μέλη του μεταξύ τους &amp; με τα κέντρα αποφάσεων (εγχώρια και διεθνή), με στόχο τη δημιουργία προστιθέμενης αξίας.</w:t>
            </w:r>
          </w:p>
        </w:tc>
      </w:tr>
      <w:tr w:rsidR="00A97FD0" w:rsidRPr="00124C09" w:rsidTr="00124C09">
        <w:trPr>
          <w:trHeight w:val="1503"/>
        </w:trPr>
        <w:tc>
          <w:tcPr>
            <w:tcW w:w="10389" w:type="dxa"/>
            <w:gridSpan w:val="2"/>
          </w:tcPr>
          <w:p w:rsidR="00A97FD0" w:rsidRPr="00124C09" w:rsidRDefault="00A97FD0" w:rsidP="00124C09">
            <w:pPr>
              <w:spacing w:after="0" w:line="240" w:lineRule="auto"/>
            </w:pPr>
            <w:r>
              <w:rPr>
                <w:noProof/>
                <w:lang w:val="en-US"/>
              </w:rPr>
              <w:pict>
                <v:line id="Straight Connector 29" o:spid="_x0000_s1042" style="position:absolute;z-index:251657728;visibility:visible;mso-wrap-distance-top:-6e-5mm;mso-wrap-distance-bottom:-6e-5mm;mso-position-horizontal:center;mso-position-horizontal-relative:margin;mso-position-vertical-relative:text" from="0,71.95pt" to="272.1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">
                  <o:lock v:ext="edit" shapetype="f"/>
                  <w10:wrap anchorx="margin"/>
                </v:line>
              </w:pict>
            </w:r>
            <w:r>
              <w:rPr>
                <w:noProof/>
                <w:lang w:val="en-US"/>
              </w:rPr>
              <w:pict>
                <v:shape id="Picture 27" o:spid="_x0000_s1043" type="#_x0000_t75" alt="gr_epist_top" style="position:absolute;margin-left:0;margin-top:4.7pt;width:150.25pt;height:67.45pt;z-index:-251659776;visibility:visible;mso-position-horizontal:center;mso-position-horizontal-relative:margin;mso-position-vertical-relative:page" wrapcoords="4104 1440 1728 1680 1188 5520 972 6720 1080 9840 1512 12000 1944 12960 648 16560 648 17760 972 18240 1836 18240 14796 18240 21060 18000 21060 16080 5832 12960 16956 12960 19656 12240 19548 5040 4752 1440 4104 1440" o:allowoverlap="f">
                  <v:imagedata r:id="rId38" o:title="" croptop="9881f" cropbottom="13175f" cropleft="3903f" cropright="39808f" chromakey="white"/>
                  <w10:wrap type="through" anchorx="margin" anchory="page"/>
                </v:shape>
              </w:pict>
            </w:r>
          </w:p>
        </w:tc>
      </w:tr>
      <w:tr w:rsidR="00A97FD0" w:rsidRPr="00124C09" w:rsidTr="00124C09">
        <w:tc>
          <w:tcPr>
            <w:tcW w:w="10389" w:type="dxa"/>
            <w:gridSpan w:val="2"/>
          </w:tcPr>
          <w:p w:rsidR="00A97FD0" w:rsidRPr="00124C09" w:rsidRDefault="00A97FD0" w:rsidP="00124C09">
            <w:pPr>
              <w:spacing w:after="0" w:line="240" w:lineRule="auto"/>
              <w:jc w:val="center"/>
              <w:rPr>
                <w:b/>
                <w:color w:val="595959"/>
                <w:sz w:val="24"/>
                <w:szCs w:val="24"/>
              </w:rPr>
            </w:pPr>
            <w:r w:rsidRPr="00124C09">
              <w:rPr>
                <w:b/>
                <w:color w:val="595959"/>
                <w:sz w:val="24"/>
                <w:szCs w:val="24"/>
              </w:rPr>
              <w:t>ΣΕΒ σύνδεσμος επιχειρήσεων και βιομηχανιών</w:t>
            </w:r>
          </w:p>
          <w:p w:rsidR="00A97FD0" w:rsidRPr="00124C09" w:rsidRDefault="00A97FD0" w:rsidP="00124C09">
            <w:pPr>
              <w:spacing w:after="0" w:line="240" w:lineRule="auto"/>
              <w:jc w:val="center"/>
              <w:rPr>
                <w:b/>
                <w:color w:val="595959"/>
                <w:sz w:val="18"/>
                <w:szCs w:val="18"/>
              </w:rPr>
            </w:pPr>
          </w:p>
        </w:tc>
      </w:tr>
      <w:tr w:rsidR="00A97FD0" w:rsidRPr="00124C09" w:rsidTr="00124C09">
        <w:trPr>
          <w:trHeight w:val="1329"/>
        </w:trPr>
        <w:tc>
          <w:tcPr>
            <w:tcW w:w="5197" w:type="dxa"/>
          </w:tcPr>
          <w:p w:rsidR="00A97FD0" w:rsidRPr="00124C09" w:rsidRDefault="00A97FD0" w:rsidP="00124C09">
            <w:pPr>
              <w:spacing w:after="0" w:line="240" w:lineRule="auto"/>
              <w:ind w:left="-142" w:firstLine="1560"/>
              <w:rPr>
                <w:b/>
                <w:color w:val="595959"/>
                <w:sz w:val="18"/>
                <w:szCs w:val="18"/>
              </w:rPr>
            </w:pPr>
            <w:r w:rsidRPr="00124C09">
              <w:rPr>
                <w:b/>
                <w:color w:val="595959"/>
                <w:sz w:val="18"/>
                <w:szCs w:val="18"/>
              </w:rPr>
              <w:t>ΣΕΒ σύνδεσμος επιχειρήσεων και βιομηχανιών</w:t>
            </w:r>
          </w:p>
          <w:p w:rsidR="00A97FD0" w:rsidRPr="00124C09" w:rsidRDefault="00A97FD0" w:rsidP="00124C09">
            <w:pPr>
              <w:spacing w:after="0" w:line="240" w:lineRule="auto"/>
              <w:ind w:left="-142" w:firstLine="1560"/>
              <w:rPr>
                <w:color w:val="595959"/>
                <w:sz w:val="18"/>
                <w:szCs w:val="18"/>
              </w:rPr>
            </w:pPr>
            <w:r w:rsidRPr="00124C09">
              <w:rPr>
                <w:color w:val="595959"/>
                <w:sz w:val="18"/>
                <w:szCs w:val="18"/>
              </w:rPr>
              <w:t>Ξενοφώντος 5, 105 57 Αθήνα</w:t>
            </w:r>
          </w:p>
          <w:p w:rsidR="00A97FD0" w:rsidRPr="00124C09" w:rsidRDefault="00A97FD0" w:rsidP="00124C09">
            <w:pPr>
              <w:spacing w:after="0" w:line="240" w:lineRule="auto"/>
              <w:ind w:left="-142" w:firstLine="1560"/>
              <w:rPr>
                <w:color w:val="595959"/>
                <w:sz w:val="18"/>
                <w:szCs w:val="18"/>
              </w:rPr>
            </w:pPr>
            <w:r w:rsidRPr="00124C09">
              <w:rPr>
                <w:color w:val="595959"/>
                <w:sz w:val="18"/>
                <w:szCs w:val="18"/>
              </w:rPr>
              <w:t>Τ: 211 5006 000</w:t>
            </w:r>
          </w:p>
          <w:p w:rsidR="00A97FD0" w:rsidRPr="00124C09" w:rsidRDefault="00A97FD0" w:rsidP="00124C09">
            <w:pPr>
              <w:spacing w:after="0" w:line="240" w:lineRule="auto"/>
              <w:ind w:left="-142" w:firstLine="1560"/>
              <w:rPr>
                <w:color w:val="595959"/>
                <w:sz w:val="18"/>
                <w:szCs w:val="18"/>
              </w:rPr>
            </w:pPr>
            <w:r w:rsidRPr="00124C09">
              <w:rPr>
                <w:color w:val="595959"/>
                <w:sz w:val="18"/>
                <w:szCs w:val="18"/>
                <w:lang w:val="en-US"/>
              </w:rPr>
              <w:t>F</w:t>
            </w:r>
            <w:r w:rsidRPr="00124C09">
              <w:rPr>
                <w:color w:val="595959"/>
                <w:sz w:val="18"/>
                <w:szCs w:val="18"/>
              </w:rPr>
              <w:t>: 210 3222 929</w:t>
            </w:r>
          </w:p>
          <w:p w:rsidR="00A97FD0" w:rsidRPr="00124C09" w:rsidRDefault="00A97FD0" w:rsidP="00124C09">
            <w:pPr>
              <w:spacing w:after="0" w:line="240" w:lineRule="auto"/>
              <w:ind w:left="-142" w:firstLine="1560"/>
              <w:rPr>
                <w:color w:val="595959"/>
                <w:sz w:val="18"/>
                <w:szCs w:val="18"/>
              </w:rPr>
            </w:pPr>
            <w:r w:rsidRPr="00124C09">
              <w:rPr>
                <w:color w:val="595959"/>
                <w:sz w:val="18"/>
                <w:szCs w:val="18"/>
              </w:rPr>
              <w:t xml:space="preserve">Ε: </w:t>
            </w:r>
            <w:hyperlink r:id="rId39" w:history="1">
              <w:r w:rsidRPr="00124C09">
                <w:rPr>
                  <w:rStyle w:val="Hyperlink"/>
                  <w:sz w:val="18"/>
                  <w:szCs w:val="18"/>
                  <w:lang w:val="en-US"/>
                </w:rPr>
                <w:t>info</w:t>
              </w:r>
              <w:r w:rsidRPr="00124C09">
                <w:rPr>
                  <w:rStyle w:val="Hyperlink"/>
                  <w:sz w:val="18"/>
                  <w:szCs w:val="18"/>
                </w:rPr>
                <w:t>@</w:t>
              </w:r>
              <w:r w:rsidRPr="00124C09">
                <w:rPr>
                  <w:rStyle w:val="Hyperlink"/>
                  <w:sz w:val="18"/>
                  <w:szCs w:val="18"/>
                  <w:lang w:val="en-US"/>
                </w:rPr>
                <w:t>sev</w:t>
              </w:r>
              <w:r w:rsidRPr="00124C09">
                <w:rPr>
                  <w:rStyle w:val="Hyperlink"/>
                  <w:sz w:val="18"/>
                  <w:szCs w:val="18"/>
                </w:rPr>
                <w:t>.</w:t>
              </w:r>
              <w:r w:rsidRPr="00124C09">
                <w:rPr>
                  <w:rStyle w:val="Hyperlink"/>
                  <w:sz w:val="18"/>
                  <w:szCs w:val="18"/>
                  <w:lang w:val="en-US"/>
                </w:rPr>
                <w:t>org</w:t>
              </w:r>
              <w:r w:rsidRPr="00124C09">
                <w:rPr>
                  <w:rStyle w:val="Hyperlink"/>
                  <w:sz w:val="18"/>
                  <w:szCs w:val="18"/>
                </w:rPr>
                <w:t>.</w:t>
              </w:r>
              <w:r w:rsidRPr="00124C09">
                <w:rPr>
                  <w:rStyle w:val="Hyperlink"/>
                  <w:sz w:val="18"/>
                  <w:szCs w:val="18"/>
                  <w:lang w:val="en-US"/>
                </w:rPr>
                <w:t>gr</w:t>
              </w:r>
            </w:hyperlink>
          </w:p>
          <w:p w:rsidR="00A97FD0" w:rsidRPr="00124C09" w:rsidRDefault="00A97FD0" w:rsidP="00124C09">
            <w:pPr>
              <w:spacing w:after="0" w:line="240" w:lineRule="auto"/>
              <w:ind w:left="-142" w:firstLine="1560"/>
              <w:rPr>
                <w:color w:val="595959"/>
                <w:sz w:val="18"/>
                <w:szCs w:val="18"/>
              </w:rPr>
            </w:pPr>
            <w:hyperlink r:id="rId40" w:history="1">
              <w:r w:rsidRPr="00124C09">
                <w:rPr>
                  <w:rStyle w:val="Hyperlink"/>
                  <w:sz w:val="18"/>
                  <w:szCs w:val="18"/>
                  <w:lang w:val="en-US"/>
                </w:rPr>
                <w:t>www</w:t>
              </w:r>
              <w:r w:rsidRPr="00124C09">
                <w:rPr>
                  <w:rStyle w:val="Hyperlink"/>
                  <w:sz w:val="18"/>
                  <w:szCs w:val="18"/>
                </w:rPr>
                <w:t>.</w:t>
              </w:r>
              <w:r w:rsidRPr="00124C09">
                <w:rPr>
                  <w:rStyle w:val="Hyperlink"/>
                  <w:sz w:val="18"/>
                  <w:szCs w:val="18"/>
                  <w:lang w:val="en-US"/>
                </w:rPr>
                <w:t>sev</w:t>
              </w:r>
              <w:r w:rsidRPr="00124C09">
                <w:rPr>
                  <w:rStyle w:val="Hyperlink"/>
                  <w:sz w:val="18"/>
                  <w:szCs w:val="18"/>
                </w:rPr>
                <w:t>.</w:t>
              </w:r>
              <w:r w:rsidRPr="00124C09">
                <w:rPr>
                  <w:rStyle w:val="Hyperlink"/>
                  <w:sz w:val="18"/>
                  <w:szCs w:val="18"/>
                  <w:lang w:val="en-US"/>
                </w:rPr>
                <w:t>org</w:t>
              </w:r>
              <w:r w:rsidRPr="00124C09">
                <w:rPr>
                  <w:rStyle w:val="Hyperlink"/>
                  <w:sz w:val="18"/>
                  <w:szCs w:val="18"/>
                </w:rPr>
                <w:t>.</w:t>
              </w:r>
              <w:r w:rsidRPr="00124C09">
                <w:rPr>
                  <w:rStyle w:val="Hyperlink"/>
                  <w:sz w:val="18"/>
                  <w:szCs w:val="18"/>
                  <w:lang w:val="en-US"/>
                </w:rPr>
                <w:t>gr</w:t>
              </w:r>
            </w:hyperlink>
          </w:p>
        </w:tc>
        <w:tc>
          <w:tcPr>
            <w:tcW w:w="5192" w:type="dxa"/>
          </w:tcPr>
          <w:p w:rsidR="00A97FD0" w:rsidRPr="00124C09" w:rsidRDefault="00A97FD0" w:rsidP="00124C09">
            <w:pPr>
              <w:spacing w:after="0" w:line="240" w:lineRule="auto"/>
              <w:ind w:firstLine="899"/>
              <w:rPr>
                <w:b/>
                <w:color w:val="595959"/>
                <w:sz w:val="18"/>
                <w:szCs w:val="18"/>
                <w:lang w:val="en-US"/>
              </w:rPr>
            </w:pPr>
            <w:r w:rsidRPr="00124C09">
              <w:rPr>
                <w:b/>
                <w:color w:val="595959"/>
                <w:sz w:val="18"/>
                <w:szCs w:val="18"/>
                <w:lang w:val="en-US"/>
              </w:rPr>
              <w:t>SEV Hellenic Federation of Enterprises</w:t>
            </w:r>
          </w:p>
          <w:p w:rsidR="00A97FD0" w:rsidRPr="00124C09" w:rsidRDefault="00A97FD0" w:rsidP="00124C09">
            <w:pPr>
              <w:spacing w:after="0" w:line="240" w:lineRule="auto"/>
              <w:ind w:firstLine="899"/>
              <w:rPr>
                <w:color w:val="595959"/>
                <w:sz w:val="18"/>
                <w:szCs w:val="18"/>
                <w:lang w:val="en-US"/>
              </w:rPr>
            </w:pPr>
            <w:r w:rsidRPr="00124C09">
              <w:rPr>
                <w:color w:val="595959"/>
                <w:sz w:val="18"/>
                <w:szCs w:val="18"/>
                <w:lang w:val="en-US"/>
              </w:rPr>
              <w:t>168, Avenue de Cortenbergh</w:t>
            </w:r>
          </w:p>
          <w:p w:rsidR="00A97FD0" w:rsidRPr="00124C09" w:rsidRDefault="00A97FD0" w:rsidP="00124C09">
            <w:pPr>
              <w:spacing w:after="0" w:line="240" w:lineRule="auto"/>
              <w:ind w:firstLine="899"/>
              <w:rPr>
                <w:color w:val="595959"/>
                <w:sz w:val="18"/>
                <w:szCs w:val="18"/>
                <w:lang w:val="de-AT"/>
              </w:rPr>
            </w:pPr>
            <w:r w:rsidRPr="00124C09">
              <w:rPr>
                <w:color w:val="595959"/>
                <w:sz w:val="18"/>
                <w:szCs w:val="18"/>
                <w:lang w:val="de-AT"/>
              </w:rPr>
              <w:t>B-1000 Bruxelles</w:t>
            </w:r>
          </w:p>
          <w:p w:rsidR="00A97FD0" w:rsidRPr="00124C09" w:rsidRDefault="00A97FD0" w:rsidP="00124C09">
            <w:pPr>
              <w:spacing w:after="0" w:line="240" w:lineRule="auto"/>
              <w:ind w:firstLine="899"/>
              <w:rPr>
                <w:color w:val="595959"/>
                <w:sz w:val="18"/>
                <w:szCs w:val="18"/>
                <w:lang w:val="de-AT"/>
              </w:rPr>
            </w:pPr>
            <w:r w:rsidRPr="00124C09">
              <w:rPr>
                <w:color w:val="595959"/>
                <w:sz w:val="18"/>
                <w:szCs w:val="18"/>
                <w:lang w:val="de-AT"/>
              </w:rPr>
              <w:t>T: +32 (02) 231 00 53</w:t>
            </w:r>
          </w:p>
          <w:p w:rsidR="00A97FD0" w:rsidRPr="00124C09" w:rsidRDefault="00A97FD0" w:rsidP="00124C09">
            <w:pPr>
              <w:spacing w:after="0" w:line="240" w:lineRule="auto"/>
              <w:ind w:firstLine="899"/>
              <w:rPr>
                <w:color w:val="595959"/>
                <w:sz w:val="18"/>
                <w:szCs w:val="18"/>
                <w:lang w:val="de-AT"/>
              </w:rPr>
            </w:pPr>
            <w:r w:rsidRPr="00124C09">
              <w:rPr>
                <w:color w:val="595959"/>
                <w:sz w:val="18"/>
                <w:szCs w:val="18"/>
                <w:lang w:val="de-AT"/>
              </w:rPr>
              <w:t>F: +32 (02) 7323570</w:t>
            </w:r>
          </w:p>
          <w:p w:rsidR="00A97FD0" w:rsidRPr="00124C09" w:rsidRDefault="00A97FD0" w:rsidP="00124C09">
            <w:pPr>
              <w:spacing w:after="0" w:line="240" w:lineRule="auto"/>
              <w:ind w:firstLine="899"/>
              <w:rPr>
                <w:color w:val="595959"/>
                <w:sz w:val="18"/>
                <w:szCs w:val="18"/>
                <w:lang w:val="de-AT"/>
              </w:rPr>
            </w:pPr>
            <w:r w:rsidRPr="00124C09">
              <w:rPr>
                <w:color w:val="595959"/>
                <w:sz w:val="18"/>
                <w:szCs w:val="18"/>
                <w:lang w:val="de-AT"/>
              </w:rPr>
              <w:t xml:space="preserve">E: </w:t>
            </w:r>
            <w:hyperlink r:id="rId41" w:history="1">
              <w:r w:rsidRPr="00124C09">
                <w:rPr>
                  <w:rStyle w:val="Hyperlink"/>
                  <w:sz w:val="18"/>
                  <w:szCs w:val="18"/>
                  <w:lang w:val="de-AT"/>
                </w:rPr>
                <w:t>main@sevbxl.be</w:t>
              </w:r>
            </w:hyperlink>
            <w:r w:rsidRPr="00124C09">
              <w:rPr>
                <w:color w:val="595959"/>
                <w:sz w:val="18"/>
                <w:szCs w:val="18"/>
                <w:lang w:val="de-AT"/>
              </w:rPr>
              <w:br/>
            </w:r>
          </w:p>
        </w:tc>
      </w:tr>
    </w:tbl>
    <w:p w:rsidR="00A97FD0" w:rsidRPr="007723B8" w:rsidRDefault="00A97FD0" w:rsidP="007723B8">
      <w:pPr>
        <w:spacing w:after="240"/>
        <w:jc w:val="center"/>
        <w:rPr>
          <w:noProof/>
          <w:sz w:val="20"/>
          <w:szCs w:val="20"/>
        </w:rPr>
      </w:pPr>
      <w:r w:rsidRPr="007723B8">
        <w:rPr>
          <w:noProof/>
          <w:sz w:val="20"/>
          <w:szCs w:val="20"/>
          <w:lang w:eastAsia="el-GR"/>
        </w:rPr>
        <w:t>Ακολουθήστε μας στα Μέσα Κοινωνικής Δικτύωσης:</w:t>
      </w:r>
      <w:r w:rsidRPr="007723B8">
        <w:rPr>
          <w:rFonts w:ascii="Times New Roman" w:hAnsi="Times New Roman"/>
          <w:noProof/>
          <w:sz w:val="20"/>
          <w:szCs w:val="20"/>
          <w:lang w:eastAsia="el-GR"/>
        </w:rPr>
        <w:t xml:space="preserve">   </w:t>
      </w:r>
      <w:r w:rsidRPr="007723B8">
        <w:rPr>
          <w:noProof/>
          <w:sz w:val="20"/>
          <w:szCs w:val="20"/>
          <w:lang w:eastAsia="el-GR"/>
        </w:rPr>
        <w:t>  </w:t>
      </w:r>
      <w:r w:rsidRPr="007723B8">
        <w:rPr>
          <w:noProof/>
          <w:sz w:val="20"/>
          <w:szCs w:val="20"/>
          <w:lang w:eastAsia="el-GR"/>
        </w:rPr>
        <w:br/>
      </w:r>
      <w:hyperlink r:id="rId42" w:history="1">
        <w:r w:rsidRPr="00124C09">
          <w:rPr>
            <w:noProof/>
            <w:sz w:val="20"/>
            <w:szCs w:val="20"/>
            <w:lang w:val="en-US"/>
          </w:rPr>
          <w:pict>
            <v:shape id="Εικόνα 2" o:spid="_x0000_i1042" type="#_x0000_t75" alt="cid:image007.png@01D1707A.1164BA30" href="https://www.linkedin.com/company/sev-hellenic-federation-of-enteprises?trk=tyah&amp;trkInfo=tarId:1455633022674,tas:sev+hell,idx:1-1" style="width:15pt;height:15pt;visibility:visible" o:button="t">
              <v:fill o:detectmouseclick="t"/>
              <v:imagedata r:id="rId43" o:title=""/>
            </v:shape>
          </w:pict>
        </w:r>
      </w:hyperlink>
      <w:hyperlink r:id="rId44" w:history="1">
        <w:r w:rsidRPr="00124C09">
          <w:rPr>
            <w:noProof/>
            <w:sz w:val="20"/>
            <w:szCs w:val="20"/>
            <w:lang w:val="en-US"/>
          </w:rPr>
          <w:pict>
            <v:shape id="Εικόνα 3" o:spid="_x0000_i1043" type="#_x0000_t75" alt="cid:image008.png@01D1707A.1164BA30" href="https://twitter.com/SEV_F" style="width:15pt;height:15pt;visibility:visible" o:button="t">
              <v:fill o:detectmouseclick="t"/>
              <v:imagedata r:id="rId45" o:title=""/>
            </v:shape>
          </w:pict>
        </w:r>
      </w:hyperlink>
      <w:r w:rsidRPr="007723B8">
        <w:rPr>
          <w:noProof/>
          <w:sz w:val="20"/>
          <w:szCs w:val="20"/>
          <w:lang w:eastAsia="el-GR"/>
        </w:rPr>
        <w:t>  </w:t>
      </w:r>
      <w:hyperlink r:id="rId46" w:history="1">
        <w:r w:rsidRPr="00124C09">
          <w:rPr>
            <w:noProof/>
            <w:sz w:val="20"/>
            <w:szCs w:val="20"/>
            <w:lang w:val="en-US"/>
          </w:rPr>
          <w:pict>
            <v:shape id="Εικόνα 4" o:spid="_x0000_i1044" type="#_x0000_t75" alt="cid:image009.png@01D1707A.1164BA30" href="https://www.youtube.com/channel/UCAYjK0gqOe_WVHYRBagCf" style="width:13.5pt;height:13.5pt;visibility:visible" o:button="t">
              <v:fill o:detectmouseclick="t"/>
              <v:imagedata r:id="rId47" o:title=""/>
            </v:shape>
          </w:pict>
        </w:r>
      </w:hyperlink>
    </w:p>
    <w:p w:rsidR="00A97FD0" w:rsidRPr="00CD7868" w:rsidRDefault="00A97FD0" w:rsidP="0053238B">
      <w:pPr>
        <w:spacing w:after="0" w:line="240" w:lineRule="auto"/>
      </w:pPr>
    </w:p>
    <w:sectPr w:rsidR="00A97FD0" w:rsidRPr="00CD7868" w:rsidSect="00424E8D">
      <w:headerReference w:type="first" r:id="rId48"/>
      <w:footerReference w:type="first" r:id="rId49"/>
      <w:pgSz w:w="11906" w:h="16838"/>
      <w:pgMar w:top="1843" w:right="720" w:bottom="709" w:left="720" w:header="708" w:footer="46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7FD0" w:rsidRDefault="00A97FD0" w:rsidP="00846D99">
      <w:pPr>
        <w:spacing w:after="0" w:line="240" w:lineRule="auto"/>
      </w:pPr>
      <w:r>
        <w:separator/>
      </w:r>
    </w:p>
  </w:endnote>
  <w:endnote w:type="continuationSeparator" w:id="1">
    <w:p w:rsidR="00A97FD0" w:rsidRDefault="00A97FD0" w:rsidP="00846D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Arial">
    <w:panose1 w:val="020B0604020202020204"/>
    <w:charset w:val="A1"/>
    <w:family w:val="swiss"/>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FD0" w:rsidRDefault="00A97FD0">
    <w:pPr>
      <w:pStyle w:val="Foot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3" o:spid="_x0000_s2052" type="#_x0000_t75" style="position:absolute;left:0;text-align:left;margin-left:350.6pt;margin-top:9.85pt;width:165.5pt;height:28.15pt;z-index:251663872;visibility:visible">
          <v:imagedata r:id="rId1" o:title=""/>
          <w10:wrap type="square"/>
        </v:shape>
      </w:pict>
    </w:r>
    <w:r>
      <w:rPr>
        <w:noProof/>
        <w:lang w:val="en-US"/>
      </w:rPr>
      <w:pict>
        <v:line id="Straight Connector 10" o:spid="_x0000_s2053" style="position:absolute;left:0;text-align:left;flip:y;z-index:251655680;visibility:visible;mso-wrap-distance-top:-6e-5mm;mso-wrap-distance-bottom:-6e-5mm" from="-11.25pt,7.1pt" to="508.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" strokecolor="#365f91">
          <o:lock v:ext="edit" shapetype="f"/>
        </v:line>
      </w:pict>
    </w:r>
    <w:r>
      <w:rPr>
        <w:noProof/>
        <w:lang w:val="en-US"/>
      </w:rPr>
      <w:pict>
        <v:shape id="Picture 98" o:spid="_x0000_s2054" type="#_x0000_t75" style="position:absolute;left:0;text-align:left;margin-left:204.1pt;margin-top:-195.3pt;width:354.5pt;height:255.4pt;z-index:-251662848;visibility:visible">
          <v:imagedata r:id="rId2" o:title="" croptop="33086f" cropleft="9584f"/>
        </v:shape>
      </w:pict>
    </w:r>
    <w:fldSimple w:instr=" PAGE   \* MERGEFORMAT ">
      <w:r>
        <w:rPr>
          <w:noProof/>
        </w:rPr>
        <w:t>2</w:t>
      </w:r>
    </w:fldSimple>
  </w:p>
  <w:p w:rsidR="00A97FD0" w:rsidRDefault="00A97FD0" w:rsidP="00846D6C">
    <w:pPr>
      <w:pStyle w:val="Footer"/>
      <w:tabs>
        <w:tab w:val="clear" w:pos="4153"/>
        <w:tab w:val="clear" w:pos="8306"/>
        <w:tab w:val="left" w:pos="7395"/>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FD0" w:rsidRPr="00AD6868" w:rsidRDefault="00A97FD0" w:rsidP="009A2EC7">
    <w:pPr>
      <w:pStyle w:val="Footer"/>
      <w:rPr>
        <w:sz w:val="18"/>
        <w:szCs w:val="18"/>
      </w:rPr>
    </w:pPr>
    <w:r>
      <w:rPr>
        <w:noProof/>
        <w:lang w:val="en-US"/>
      </w:rPr>
      <w:pict>
        <v:shapetype id="_x0000_t202" coordsize="21600,21600" o:spt="202" path="m,l,21600r21600,l21600,xe">
          <v:stroke joinstyle="miter"/>
          <v:path gradientshapeok="t" o:connecttype="rect"/>
        </v:shapetype>
        <v:shape id="Text Box 8" o:spid="_x0000_s2059" type="#_x0000_t202" style="position:absolute;margin-left:8.15pt;margin-top:545.45pt;width:155.2pt;height:308.55pt;z-index:25165465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" fillcolor="#365f91" stroked="f">
          <v:textbox>
            <w:txbxContent>
              <w:p w:rsidR="00A97FD0" w:rsidRPr="00124C09" w:rsidRDefault="00A97FD0" w:rsidP="008C3DCE">
                <w:pPr>
                  <w:spacing w:after="0" w:line="240" w:lineRule="auto"/>
                  <w:rPr>
                    <w:b/>
                    <w:color w:val="FFFFFF"/>
                  </w:rPr>
                </w:pPr>
                <w:r w:rsidRPr="00124C09">
                  <w:rPr>
                    <w:b/>
                    <w:color w:val="FFFFFF"/>
                  </w:rPr>
                  <w:t>Τομέας Μακροοικονομικής Ανάλυσης</w:t>
                </w:r>
              </w:p>
              <w:p w:rsidR="00A97FD0" w:rsidRPr="00124C09" w:rsidRDefault="00A97FD0" w:rsidP="008C3DCE">
                <w:pPr>
                  <w:spacing w:after="0" w:line="240" w:lineRule="auto"/>
                  <w:rPr>
                    <w:b/>
                    <w:color w:val="FFFFFF"/>
                  </w:rPr>
                </w:pPr>
                <w:r w:rsidRPr="00124C09">
                  <w:rPr>
                    <w:b/>
                    <w:color w:val="FFFFFF"/>
                  </w:rPr>
                  <w:t>και Ευρωπαϊκής Πολιτικής</w:t>
                </w:r>
              </w:p>
              <w:p w:rsidR="00A97FD0" w:rsidRPr="00124C09" w:rsidRDefault="00A97FD0" w:rsidP="008C3DCE">
                <w:pPr>
                  <w:spacing w:after="0" w:line="240" w:lineRule="auto"/>
                  <w:rPr>
                    <w:b/>
                    <w:color w:val="FFFFFF"/>
                    <w:sz w:val="18"/>
                    <w:szCs w:val="18"/>
                  </w:rPr>
                </w:pPr>
              </w:p>
              <w:p w:rsidR="00A97FD0" w:rsidRPr="00124C09" w:rsidRDefault="00A97FD0" w:rsidP="008C3DCE">
                <w:pPr>
                  <w:spacing w:after="0" w:line="240" w:lineRule="auto"/>
                  <w:rPr>
                    <w:b/>
                    <w:color w:val="FFFFFF"/>
                    <w:sz w:val="18"/>
                    <w:szCs w:val="18"/>
                    <w:lang w:val="en-US"/>
                  </w:rPr>
                </w:pPr>
                <w:r w:rsidRPr="00124C09">
                  <w:rPr>
                    <w:b/>
                    <w:color w:val="FFFFFF"/>
                    <w:sz w:val="18"/>
                    <w:szCs w:val="18"/>
                  </w:rPr>
                  <w:t>ΜιχάληςΜασουράκης</w:t>
                </w:r>
              </w:p>
              <w:p w:rsidR="00A97FD0" w:rsidRPr="00124C09" w:rsidRDefault="00A97FD0" w:rsidP="008C3DCE">
                <w:pPr>
                  <w:widowControl w:val="0"/>
                  <w:spacing w:after="0" w:line="240" w:lineRule="auto"/>
                  <w:rPr>
                    <w:rFonts w:cs="Tahoma"/>
                    <w:b/>
                    <w:color w:val="FFFFFF"/>
                    <w:sz w:val="18"/>
                    <w:szCs w:val="18"/>
                    <w:lang w:val="en-US"/>
                  </w:rPr>
                </w:pPr>
                <w:r w:rsidRPr="00124C09">
                  <w:rPr>
                    <w:rFonts w:cs="Tahoma"/>
                    <w:b/>
                    <w:color w:val="FFFFFF"/>
                    <w:sz w:val="18"/>
                    <w:szCs w:val="18"/>
                    <w:lang w:val="en-US"/>
                  </w:rPr>
                  <w:t>ChiefEconomist</w:t>
                </w:r>
              </w:p>
              <w:p w:rsidR="00A97FD0" w:rsidRPr="00124C09" w:rsidRDefault="00A97FD0" w:rsidP="008C3DCE">
                <w:pPr>
                  <w:widowControl w:val="0"/>
                  <w:spacing w:after="0" w:line="240" w:lineRule="auto"/>
                  <w:rPr>
                    <w:rFonts w:cs="Tahoma"/>
                    <w:color w:val="FFFFFF"/>
                    <w:sz w:val="18"/>
                    <w:szCs w:val="18"/>
                    <w:lang w:val="en-US"/>
                  </w:rPr>
                </w:pPr>
                <w:r w:rsidRPr="00124C09">
                  <w:rPr>
                    <w:rFonts w:cs="Tahoma"/>
                    <w:color w:val="FFFFFF"/>
                    <w:sz w:val="18"/>
                    <w:szCs w:val="18"/>
                  </w:rPr>
                  <w:t>Ε</w:t>
                </w:r>
                <w:r w:rsidRPr="00124C09">
                  <w:rPr>
                    <w:rFonts w:cs="Tahoma"/>
                    <w:color w:val="FFFFFF"/>
                    <w:sz w:val="18"/>
                    <w:szCs w:val="18"/>
                    <w:lang w:val="en-US"/>
                  </w:rPr>
                  <w:t xml:space="preserve">: </w:t>
                </w:r>
                <w:hyperlink r:id="rId1" w:history="1">
                  <w:r w:rsidRPr="00124C09">
                    <w:rPr>
                      <w:rFonts w:cs="Tahoma"/>
                      <w:color w:val="FFFFFF"/>
                      <w:sz w:val="18"/>
                      <w:szCs w:val="18"/>
                      <w:lang w:val="en-US"/>
                    </w:rPr>
                    <w:t>mmassourakis@sev.org.gr</w:t>
                  </w:r>
                </w:hyperlink>
              </w:p>
              <w:p w:rsidR="00A97FD0" w:rsidRPr="00124C09" w:rsidRDefault="00A97FD0" w:rsidP="008C3DCE">
                <w:pPr>
                  <w:spacing w:after="0" w:line="240" w:lineRule="auto"/>
                  <w:rPr>
                    <w:color w:val="FFFFFF"/>
                    <w:sz w:val="18"/>
                    <w:szCs w:val="18"/>
                    <w:lang w:val="en-US"/>
                  </w:rPr>
                </w:pPr>
                <w:r w:rsidRPr="00124C09">
                  <w:rPr>
                    <w:rFonts w:cs="Tahoma"/>
                    <w:color w:val="FFFFFF"/>
                    <w:sz w:val="18"/>
                    <w:szCs w:val="18"/>
                  </w:rPr>
                  <w:t>Τ</w:t>
                </w:r>
                <w:r w:rsidRPr="00124C09">
                  <w:rPr>
                    <w:rFonts w:cs="Tahoma"/>
                    <w:color w:val="FFFFFF"/>
                    <w:sz w:val="18"/>
                    <w:szCs w:val="18"/>
                    <w:lang w:val="en-US"/>
                  </w:rPr>
                  <w:t>: +302115006104</w:t>
                </w:r>
              </w:p>
              <w:p w:rsidR="00A97FD0" w:rsidRPr="00124C09" w:rsidRDefault="00A97FD0" w:rsidP="008C3DCE">
                <w:pPr>
                  <w:spacing w:after="0" w:line="240" w:lineRule="auto"/>
                  <w:rPr>
                    <w:color w:val="FFFFFF"/>
                    <w:sz w:val="18"/>
                    <w:szCs w:val="18"/>
                    <w:lang w:val="en-US"/>
                  </w:rPr>
                </w:pPr>
              </w:p>
              <w:p w:rsidR="00A97FD0" w:rsidRPr="00124C09" w:rsidRDefault="00A97FD0" w:rsidP="008C3DCE">
                <w:pPr>
                  <w:spacing w:after="0" w:line="240" w:lineRule="auto"/>
                  <w:rPr>
                    <w:b/>
                    <w:color w:val="FFFFFF"/>
                    <w:sz w:val="18"/>
                    <w:szCs w:val="18"/>
                  </w:rPr>
                </w:pPr>
                <w:r w:rsidRPr="00124C09">
                  <w:rPr>
                    <w:b/>
                    <w:color w:val="FFFFFF"/>
                    <w:sz w:val="18"/>
                    <w:szCs w:val="18"/>
                  </w:rPr>
                  <w:t>Μιχάλης Μητσόπουλος</w:t>
                </w:r>
              </w:p>
              <w:p w:rsidR="00A97FD0" w:rsidRPr="00124C09" w:rsidRDefault="00A97FD0" w:rsidP="008C3DCE">
                <w:pPr>
                  <w:widowControl w:val="0"/>
                  <w:spacing w:after="0" w:line="240" w:lineRule="auto"/>
                  <w:rPr>
                    <w:rFonts w:cs="Tahoma"/>
                    <w:b/>
                    <w:color w:val="FFFFFF"/>
                    <w:sz w:val="18"/>
                    <w:szCs w:val="18"/>
                  </w:rPr>
                </w:pPr>
                <w:r w:rsidRPr="00124C09">
                  <w:rPr>
                    <w:rFonts w:cs="Tahoma"/>
                    <w:b/>
                    <w:color w:val="FFFFFF"/>
                    <w:sz w:val="18"/>
                    <w:szCs w:val="18"/>
                    <w:lang w:val="en-US"/>
                  </w:rPr>
                  <w:t>SeniorAdvisor</w:t>
                </w:r>
              </w:p>
              <w:p w:rsidR="00A97FD0" w:rsidRPr="00124C09" w:rsidRDefault="00A97FD0" w:rsidP="008C3DCE">
                <w:pPr>
                  <w:widowControl w:val="0"/>
                  <w:spacing w:after="0" w:line="240" w:lineRule="auto"/>
                  <w:rPr>
                    <w:rFonts w:cs="Tahoma"/>
                    <w:color w:val="FFFFFF"/>
                    <w:sz w:val="18"/>
                    <w:szCs w:val="18"/>
                  </w:rPr>
                </w:pPr>
                <w:r w:rsidRPr="00124C09">
                  <w:rPr>
                    <w:rFonts w:cs="Tahoma"/>
                    <w:color w:val="FFFFFF"/>
                    <w:sz w:val="18"/>
                    <w:szCs w:val="18"/>
                  </w:rPr>
                  <w:t xml:space="preserve">Ε: </w:t>
                </w:r>
                <w:hyperlink r:id="rId2" w:history="1">
                  <w:r w:rsidRPr="00124C09">
                    <w:rPr>
                      <w:color w:val="FFFFFF"/>
                      <w:sz w:val="18"/>
                      <w:szCs w:val="18"/>
                      <w:lang w:val="en-US"/>
                    </w:rPr>
                    <w:t>mmitsopoulos</w:t>
                  </w:r>
                  <w:r w:rsidRPr="00124C09">
                    <w:rPr>
                      <w:color w:val="FFFFFF"/>
                      <w:sz w:val="18"/>
                      <w:szCs w:val="18"/>
                    </w:rPr>
                    <w:t>@</w:t>
                  </w:r>
                  <w:r w:rsidRPr="00124C09">
                    <w:rPr>
                      <w:color w:val="FFFFFF"/>
                      <w:sz w:val="18"/>
                      <w:szCs w:val="18"/>
                      <w:lang w:val="en-US"/>
                    </w:rPr>
                    <w:t>sev</w:t>
                  </w:r>
                  <w:r w:rsidRPr="00124C09">
                    <w:rPr>
                      <w:color w:val="FFFFFF"/>
                      <w:sz w:val="18"/>
                      <w:szCs w:val="18"/>
                    </w:rPr>
                    <w:t>.</w:t>
                  </w:r>
                  <w:r w:rsidRPr="00124C09">
                    <w:rPr>
                      <w:color w:val="FFFFFF"/>
                      <w:sz w:val="18"/>
                      <w:szCs w:val="18"/>
                      <w:lang w:val="en-US"/>
                    </w:rPr>
                    <w:t>org</w:t>
                  </w:r>
                  <w:r w:rsidRPr="00124C09">
                    <w:rPr>
                      <w:color w:val="FFFFFF"/>
                      <w:sz w:val="18"/>
                      <w:szCs w:val="18"/>
                    </w:rPr>
                    <w:t>.</w:t>
                  </w:r>
                  <w:r w:rsidRPr="00124C09">
                    <w:rPr>
                      <w:color w:val="FFFFFF"/>
                      <w:sz w:val="18"/>
                      <w:szCs w:val="18"/>
                      <w:lang w:val="en-US"/>
                    </w:rPr>
                    <w:t>gr</w:t>
                  </w:r>
                </w:hyperlink>
              </w:p>
              <w:p w:rsidR="00A97FD0" w:rsidRPr="00124C09" w:rsidRDefault="00A97FD0" w:rsidP="008C3DCE">
                <w:pPr>
                  <w:spacing w:after="0" w:line="240" w:lineRule="auto"/>
                  <w:rPr>
                    <w:color w:val="FFFFFF"/>
                    <w:sz w:val="18"/>
                    <w:szCs w:val="18"/>
                    <w:lang w:val="en-US"/>
                  </w:rPr>
                </w:pPr>
                <w:r w:rsidRPr="00124C09">
                  <w:rPr>
                    <w:rFonts w:cs="Tahoma"/>
                    <w:color w:val="FFFFFF"/>
                    <w:sz w:val="18"/>
                    <w:szCs w:val="18"/>
                  </w:rPr>
                  <w:t>Τ</w:t>
                </w:r>
                <w:r w:rsidRPr="00124C09">
                  <w:rPr>
                    <w:rFonts w:cs="Tahoma"/>
                    <w:color w:val="FFFFFF"/>
                    <w:sz w:val="18"/>
                    <w:szCs w:val="18"/>
                    <w:lang w:val="en-US"/>
                  </w:rPr>
                  <w:t>: +302115006157</w:t>
                </w:r>
              </w:p>
              <w:p w:rsidR="00A97FD0" w:rsidRPr="00124C09" w:rsidRDefault="00A97FD0" w:rsidP="008C3DCE">
                <w:pPr>
                  <w:spacing w:after="0" w:line="240" w:lineRule="auto"/>
                  <w:rPr>
                    <w:color w:val="FFFFFF"/>
                    <w:sz w:val="18"/>
                    <w:szCs w:val="18"/>
                    <w:lang w:val="en-US"/>
                  </w:rPr>
                </w:pPr>
              </w:p>
              <w:p w:rsidR="00A97FD0" w:rsidRPr="00124C09" w:rsidRDefault="00A97FD0" w:rsidP="008C3DCE">
                <w:pPr>
                  <w:spacing w:after="0" w:line="240" w:lineRule="auto"/>
                  <w:rPr>
                    <w:b/>
                    <w:color w:val="FFFFFF"/>
                    <w:sz w:val="18"/>
                    <w:szCs w:val="18"/>
                    <w:lang w:val="en-US"/>
                  </w:rPr>
                </w:pPr>
                <w:r w:rsidRPr="00124C09">
                  <w:rPr>
                    <w:b/>
                    <w:color w:val="FFFFFF"/>
                    <w:sz w:val="18"/>
                    <w:szCs w:val="18"/>
                  </w:rPr>
                  <w:t>ΘανάσηςΠρίντσιπας</w:t>
                </w:r>
              </w:p>
              <w:p w:rsidR="00A97FD0" w:rsidRPr="00124C09" w:rsidRDefault="00A97FD0" w:rsidP="008C3DCE">
                <w:pPr>
                  <w:spacing w:after="0" w:line="240" w:lineRule="auto"/>
                  <w:rPr>
                    <w:rFonts w:cs="Tahoma"/>
                    <w:b/>
                    <w:color w:val="FFFFFF"/>
                    <w:sz w:val="18"/>
                    <w:szCs w:val="18"/>
                    <w:lang w:val="en-US"/>
                  </w:rPr>
                </w:pPr>
                <w:r w:rsidRPr="00124C09">
                  <w:rPr>
                    <w:rFonts w:cs="Tahoma"/>
                    <w:b/>
                    <w:color w:val="FFFFFF"/>
                    <w:sz w:val="18"/>
                    <w:szCs w:val="18"/>
                    <w:lang w:val="en-US"/>
                  </w:rPr>
                  <w:t>Associate Advisor</w:t>
                </w:r>
              </w:p>
              <w:p w:rsidR="00A97FD0" w:rsidRPr="00124C09" w:rsidRDefault="00A97FD0" w:rsidP="008C3DCE">
                <w:pPr>
                  <w:widowControl w:val="0"/>
                  <w:spacing w:after="0" w:line="240" w:lineRule="auto"/>
                  <w:rPr>
                    <w:rFonts w:cs="Tahoma"/>
                    <w:color w:val="FFFFFF"/>
                    <w:sz w:val="18"/>
                    <w:szCs w:val="18"/>
                    <w:lang w:val="en-US"/>
                  </w:rPr>
                </w:pPr>
                <w:r w:rsidRPr="00124C09">
                  <w:rPr>
                    <w:rFonts w:cs="Tahoma"/>
                    <w:color w:val="FFFFFF"/>
                    <w:sz w:val="18"/>
                    <w:szCs w:val="18"/>
                  </w:rPr>
                  <w:t>Ε</w:t>
                </w:r>
                <w:r w:rsidRPr="00124C09">
                  <w:rPr>
                    <w:rFonts w:cs="Tahoma"/>
                    <w:color w:val="FFFFFF"/>
                    <w:sz w:val="18"/>
                    <w:szCs w:val="18"/>
                    <w:lang w:val="en-US"/>
                  </w:rPr>
                  <w:t xml:space="preserve">: </w:t>
                </w:r>
                <w:hyperlink r:id="rId3" w:history="1">
                  <w:r w:rsidRPr="00124C09">
                    <w:rPr>
                      <w:rFonts w:cs="Tahoma"/>
                      <w:color w:val="FFFFFF"/>
                      <w:sz w:val="18"/>
                      <w:szCs w:val="18"/>
                      <w:lang w:val="en-US"/>
                    </w:rPr>
                    <w:t>printsipas@sev.org.gr</w:t>
                  </w:r>
                </w:hyperlink>
              </w:p>
              <w:p w:rsidR="00A97FD0" w:rsidRPr="00124C09" w:rsidRDefault="00A97FD0" w:rsidP="008C3DCE">
                <w:pPr>
                  <w:spacing w:after="0" w:line="240" w:lineRule="auto"/>
                  <w:rPr>
                    <w:rFonts w:cs="Tahoma"/>
                    <w:color w:val="FFFFFF"/>
                    <w:sz w:val="18"/>
                    <w:szCs w:val="18"/>
                    <w:lang w:val="en-US"/>
                  </w:rPr>
                </w:pPr>
                <w:r w:rsidRPr="00124C09">
                  <w:rPr>
                    <w:rFonts w:cs="Tahoma"/>
                    <w:color w:val="FFFFFF"/>
                    <w:sz w:val="18"/>
                    <w:szCs w:val="18"/>
                  </w:rPr>
                  <w:t>Τ</w:t>
                </w:r>
                <w:r w:rsidRPr="00124C09">
                  <w:rPr>
                    <w:rFonts w:cs="Tahoma"/>
                    <w:color w:val="FFFFFF"/>
                    <w:sz w:val="18"/>
                    <w:szCs w:val="18"/>
                    <w:lang w:val="en-US"/>
                  </w:rPr>
                  <w:t>: +302115006176</w:t>
                </w:r>
              </w:p>
              <w:p w:rsidR="00A97FD0" w:rsidRPr="00124C09" w:rsidRDefault="00A97FD0" w:rsidP="008C3DCE">
                <w:pPr>
                  <w:spacing w:after="0" w:line="240" w:lineRule="auto"/>
                  <w:rPr>
                    <w:rFonts w:cs="Tahoma"/>
                    <w:color w:val="FFFFFF"/>
                    <w:sz w:val="8"/>
                    <w:szCs w:val="8"/>
                    <w:lang w:val="en-US"/>
                  </w:rPr>
                </w:pPr>
              </w:p>
              <w:p w:rsidR="00A97FD0" w:rsidRPr="00124C09" w:rsidRDefault="00A97FD0" w:rsidP="00360B95">
                <w:pPr>
                  <w:spacing w:after="0" w:line="240" w:lineRule="auto"/>
                  <w:jc w:val="both"/>
                  <w:rPr>
                    <w:rFonts w:cs="Tahoma"/>
                    <w:color w:val="FFFFFF"/>
                    <w:sz w:val="15"/>
                    <w:szCs w:val="15"/>
                  </w:rPr>
                </w:pPr>
                <w:r w:rsidRPr="00124C09">
                  <w:rPr>
                    <w:rFonts w:cs="Tahoma"/>
                    <w:color w:val="FFFFFF"/>
                    <w:sz w:val="15"/>
                    <w:szCs w:val="15"/>
                  </w:rPr>
                  <w:t>Οι απόψεις στην παρούσα έκθεση  είναι των συγγραφέων και όχι απαραίτητα του ΣΕΒ. Ο ΣΕΒ δεν φέρει καμία ευθύνη για την ακρίβεια ή την πληρότητα των πληροφοριών που περιλαμβάνει η έκθεση.</w:t>
                </w:r>
              </w:p>
              <w:p w:rsidR="00A97FD0" w:rsidRPr="00124C09" w:rsidRDefault="00A97FD0" w:rsidP="00360B95">
                <w:pPr>
                  <w:spacing w:after="0" w:line="240" w:lineRule="auto"/>
                  <w:jc w:val="both"/>
                  <w:rPr>
                    <w:b/>
                    <w:color w:val="FFFFFF"/>
                    <w:sz w:val="18"/>
                    <w:szCs w:val="18"/>
                  </w:rPr>
                </w:pPr>
              </w:p>
            </w:txbxContent>
          </v:textbox>
          <w10:wrap anchory="page"/>
        </v:shape>
      </w:pict>
    </w: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2060" type="#_x0000_t75" style="position:absolute;margin-left:202.9pt;margin-top:-222.85pt;width:354.5pt;height:255.4pt;z-index:-251663872;visibility:visible">
          <v:imagedata r:id="rId4" o:title="" croptop="33086f" cropleft="9584f"/>
        </v:shape>
      </w:pict>
    </w:r>
    <w:r>
      <w:tab/>
    </w:r>
    <w:r>
      <w:tab/>
    </w:r>
    <w:r>
      <w:tab/>
    </w:r>
    <w:r>
      <w:tab/>
    </w:r>
    <w:r>
      <w:tab/>
    </w:r>
    <w:r w:rsidRPr="00AD6868">
      <w:rPr>
        <w:sz w:val="18"/>
        <w:szCs w:val="18"/>
      </w:rPr>
      <w:fldChar w:fldCharType="begin"/>
    </w:r>
    <w:r w:rsidRPr="00AD6868">
      <w:rPr>
        <w:sz w:val="18"/>
        <w:szCs w:val="18"/>
      </w:rPr>
      <w:instrText xml:space="preserve"> PAGE   \* MERGEFORMAT </w:instrText>
    </w:r>
    <w:r w:rsidRPr="00AD6868">
      <w:rPr>
        <w:sz w:val="18"/>
        <w:szCs w:val="18"/>
      </w:rPr>
      <w:fldChar w:fldCharType="separate"/>
    </w:r>
    <w:r>
      <w:rPr>
        <w:noProof/>
        <w:sz w:val="18"/>
        <w:szCs w:val="18"/>
      </w:rPr>
      <w:t>1</w:t>
    </w:r>
    <w:r w:rsidRPr="00AD6868">
      <w:rPr>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FD0" w:rsidRPr="004A3F50" w:rsidRDefault="00A97FD0" w:rsidP="004A3F50">
    <w:pPr>
      <w:pStyle w:val="Foot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5" o:spid="_x0000_s2063" type="#_x0000_t75" style="position:absolute;margin-left:365.1pt;margin-top:-5.45pt;width:157.55pt;height:26.8pt;z-index:251664896;visibility:visible">
          <v:imagedata r:id="rId1" o:title=""/>
          <w10:wrap type="squar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7FD0" w:rsidRDefault="00A97FD0" w:rsidP="00846D99">
      <w:pPr>
        <w:spacing w:after="0" w:line="240" w:lineRule="auto"/>
      </w:pPr>
      <w:r>
        <w:separator/>
      </w:r>
    </w:p>
  </w:footnote>
  <w:footnote w:type="continuationSeparator" w:id="1">
    <w:p w:rsidR="00A97FD0" w:rsidRDefault="00A97FD0" w:rsidP="00846D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FD0" w:rsidRDefault="00A97FD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06623" o:spid="_x0000_s2049" type="#_x0000_t75" style="position:absolute;margin-left:0;margin-top:0;width:414.9pt;height:586.5pt;z-index:-25165363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FD0" w:rsidRDefault="00A97FD0" w:rsidP="001C7821">
    <w:pPr>
      <w:pStyle w:val="Header"/>
      <w:tabs>
        <w:tab w:val="clear" w:pos="4153"/>
        <w:tab w:val="clear" w:pos="8306"/>
        <w:tab w:val="left" w:pos="7411"/>
      </w:tabs>
    </w:pPr>
    <w:r>
      <w:rPr>
        <w:noProof/>
        <w:lang w:val="en-US"/>
      </w:rPr>
      <w:pict>
        <v:rect id="Rectangle 5" o:spid="_x0000_s2050" style="position:absolute;margin-left:111pt;margin-top:-.15pt;width:416pt;height:27.75pt;rotation:180;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" fillcolor="#cccce6" stroked="f">
          <v:fill rotate="t" angle="90" colors="0 #cccce6;43909f #cccce6" focus="100%" type="gradient"/>
          <o:lock v:ext="edit" shapetype="t"/>
          <v:textbox inset="2.88pt,2.88pt,2.88pt,2.88pt">
            <w:txbxContent>
              <w:tbl>
                <w:tblPr>
                  <w:tblW w:w="7371" w:type="dxa"/>
                  <w:tblInd w:w="817" w:type="dxa"/>
                  <w:tblLook w:val="00A0"/>
                </w:tblPr>
                <w:tblGrid>
                  <w:gridCol w:w="7371"/>
                </w:tblGrid>
                <w:tr w:rsidR="00A97FD0" w:rsidRPr="00124C09" w:rsidTr="00124C09">
                  <w:tc>
                    <w:tcPr>
                      <w:tcW w:w="7371" w:type="dxa"/>
                    </w:tcPr>
                    <w:p w:rsidR="00A97FD0" w:rsidRPr="00124C09" w:rsidRDefault="00A97FD0" w:rsidP="00124C09">
                      <w:pPr>
                        <w:spacing w:after="0" w:line="240" w:lineRule="auto"/>
                        <w:jc w:val="right"/>
                        <w:rPr>
                          <w:sz w:val="28"/>
                          <w:szCs w:val="28"/>
                        </w:rPr>
                      </w:pPr>
                      <w:r w:rsidRPr="00124C09">
                        <w:rPr>
                          <w:b/>
                          <w:color w:val="244061"/>
                          <w:sz w:val="28"/>
                          <w:szCs w:val="28"/>
                        </w:rPr>
                        <w:t>οικονομία &amp; επιχειρήσεις</w:t>
                      </w:r>
                    </w:p>
                  </w:tc>
                </w:tr>
              </w:tbl>
              <w:p w:rsidR="00A97FD0" w:rsidRDefault="00A97FD0" w:rsidP="00E436A1">
                <w:pPr>
                  <w:jc w:val="center"/>
                </w:pPr>
              </w:p>
            </w:txbxContent>
          </v:textbox>
          <w10:wrap type="topAndBottom"/>
        </v:rect>
      </w:pict>
    </w: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2051" type="#_x0000_t75" alt="gr_epist_top" style="position:absolute;margin-left:-4.55pt;margin-top:-6.2pt;width:107.7pt;height:48.35pt;z-index:-251665920;visibility:visible">
          <v:imagedata r:id="rId1" o:title="" croptop="9881f" cropbottom="13175f" cropleft="3903f" cropright="39808f"/>
          <w10:wrap type="topAndBottom"/>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FD0" w:rsidRDefault="00A97FD0" w:rsidP="00361C4E">
    <w:pPr>
      <w:pStyle w:val="Header"/>
    </w:pPr>
    <w:r>
      <w:rPr>
        <w:noProof/>
        <w:lang w:val="en-US"/>
      </w:rPr>
      <w:pict>
        <v:rect id="Rectangle 28" o:spid="_x0000_s2055" style="position:absolute;margin-left:113.9pt;margin-top:-.4pt;width:412.95pt;height:70.65pt;rotation:18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" fillcolor="#cccce6" stroked="f">
          <v:fill rotate="t" angle="90" colors="0 #cccce6;43909f #cccce6" focus="100%" type="gradient"/>
          <o:lock v:ext="edit" shapetype="t"/>
          <v:textbox inset="2.88pt,2.88pt,2.88pt,2.88pt">
            <w:txbxContent>
              <w:p w:rsidR="00A97FD0" w:rsidRDefault="00A97FD0" w:rsidP="00361C4E">
                <w:pPr>
                  <w:jc w:val="center"/>
                </w:pPr>
              </w:p>
            </w:txbxContent>
          </v:textbox>
        </v:rect>
      </w:pict>
    </w:r>
    <w:r>
      <w:rPr>
        <w:noProof/>
        <w:lang w:val="en-US"/>
      </w:rPr>
      <w:pict>
        <v:shapetype id="_x0000_t202" coordsize="21600,21600" o:spt="202" path="m,l,21600r21600,l21600,xe">
          <v:stroke joinstyle="miter"/>
          <v:path gradientshapeok="t" o:connecttype="rect"/>
        </v:shapetype>
        <v:shape id="Text Box 70" o:spid="_x0000_s2056" type="#_x0000_t202" style="position:absolute;margin-left:176.65pt;margin-top:-.4pt;width:350.25pt;height:41.6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" fillcolor="#1f497d" stroked="f" strokeweight=".5pt">
          <v:path arrowok="t"/>
          <v:textbox>
            <w:txbxContent>
              <w:p w:rsidR="00A97FD0" w:rsidRPr="00124C09" w:rsidRDefault="00A97FD0" w:rsidP="00361C4E">
                <w:pPr>
                  <w:spacing w:after="0" w:line="240" w:lineRule="auto"/>
                  <w:jc w:val="right"/>
                  <w:rPr>
                    <w:b/>
                    <w:color w:val="FFFFFF"/>
                    <w:sz w:val="44"/>
                    <w:szCs w:val="44"/>
                  </w:rPr>
                </w:pPr>
                <w:r w:rsidRPr="00124C09">
                  <w:rPr>
                    <w:b/>
                    <w:color w:val="FFFFFF"/>
                    <w:sz w:val="44"/>
                    <w:szCs w:val="44"/>
                    <w:lang w:val="en-US"/>
                  </w:rPr>
                  <w:t>o</w:t>
                </w:r>
                <w:r w:rsidRPr="00124C09">
                  <w:rPr>
                    <w:b/>
                    <w:color w:val="FFFFFF"/>
                    <w:sz w:val="44"/>
                    <w:szCs w:val="44"/>
                  </w:rPr>
                  <w:t>ικονομία &amp; επιχειρήσεις</w:t>
                </w:r>
              </w:p>
            </w:txbxContent>
          </v:textbox>
        </v:shape>
      </w:pict>
    </w: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2057" type="#_x0000_t75" alt="gr_epist_top" style="position:absolute;margin-left:-4.5pt;margin-top:-6.2pt;width:118.6pt;height:53.25pt;z-index:-251659776;visibility:visible">
          <v:imagedata r:id="rId1" o:title="" croptop="9881f" cropbottom="13175f" cropleft="3903f" cropright="39808f"/>
          <w10:wrap type="topAndBottom"/>
        </v:shape>
      </w:pict>
    </w:r>
  </w:p>
  <w:p w:rsidR="00A97FD0" w:rsidRDefault="00A97FD0" w:rsidP="00361C4E">
    <w:pPr>
      <w:pStyle w:val="Header"/>
      <w:tabs>
        <w:tab w:val="clear" w:pos="4153"/>
        <w:tab w:val="clear" w:pos="8306"/>
        <w:tab w:val="left" w:pos="2505"/>
      </w:tabs>
    </w:pPr>
    <w:r>
      <w:rPr>
        <w:noProof/>
        <w:lang w:val="en-US"/>
      </w:rPr>
      <w:pict>
        <v:shape id="Text Box 72" o:spid="_x0000_s2058" type="#_x0000_t202" style="position:absolute;margin-left:-5.6pt;margin-top:32.55pt;width:532.3pt;height:22.4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" filled="f" stroked="f" strokeweight=".5pt">
          <v:path arrowok="t"/>
          <v:textbox>
            <w:txbxContent>
              <w:p w:rsidR="00A97FD0" w:rsidRPr="00124C09" w:rsidRDefault="00A97FD0" w:rsidP="00361C4E">
                <w:pPr>
                  <w:spacing w:after="0" w:line="240" w:lineRule="auto"/>
                  <w:jc w:val="right"/>
                  <w:rPr>
                    <w:b/>
                    <w:color w:val="E36C0A"/>
                    <w:sz w:val="40"/>
                    <w:szCs w:val="40"/>
                  </w:rPr>
                </w:pPr>
                <w:r w:rsidRPr="00124C09">
                  <w:rPr>
                    <w:b/>
                    <w:color w:val="E36C0A"/>
                  </w:rPr>
                  <w:tab/>
                </w:r>
                <w:r w:rsidRPr="00124C09">
                  <w:rPr>
                    <w:b/>
                    <w:color w:val="E36C0A"/>
                  </w:rPr>
                  <w:tab/>
                </w:r>
                <w:r w:rsidRPr="00124C09">
                  <w:rPr>
                    <w:b/>
                    <w:color w:val="E36C0A"/>
                  </w:rPr>
                  <w:tab/>
                </w:r>
                <w:r w:rsidRPr="00124C09">
                  <w:rPr>
                    <w:b/>
                    <w:color w:val="1F497D"/>
                  </w:rPr>
                  <w:t>Εβδομαδιαίο δελτίο για την Ελληνική οικονομία</w:t>
                </w:r>
              </w:p>
              <w:p w:rsidR="00A97FD0" w:rsidRPr="00124C09" w:rsidRDefault="00A97FD0" w:rsidP="00361C4E">
                <w:pPr>
                  <w:jc w:val="right"/>
                  <w:rPr>
                    <w:b/>
                    <w:color w:val="E36C0A"/>
                  </w:rPr>
                </w:pPr>
              </w:p>
            </w:txbxContent>
          </v:textbox>
        </v:shape>
      </w:pict>
    </w:r>
    <w:r>
      <w:tab/>
    </w:r>
  </w:p>
  <w:p w:rsidR="00A97FD0" w:rsidRPr="004A3F50" w:rsidRDefault="00A97FD0" w:rsidP="004A3F5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FD0" w:rsidRDefault="00A97FD0" w:rsidP="00361C4E">
    <w:pPr>
      <w:pStyle w:val="Header"/>
      <w:tabs>
        <w:tab w:val="clear" w:pos="4153"/>
        <w:tab w:val="clear" w:pos="8306"/>
        <w:tab w:val="left" w:pos="7411"/>
      </w:tabs>
    </w:pPr>
    <w:r>
      <w:rPr>
        <w:noProof/>
        <w:lang w:val="en-US"/>
      </w:rPr>
      <w:pict>
        <v:rect id="Rectangle 17" o:spid="_x0000_s2061" style="position:absolute;margin-left:111pt;margin-top:-.15pt;width:416pt;height:27.75pt;rotation:180;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" fillcolor="#cccce6" stroked="f">
          <v:fill rotate="t" angle="90" colors="0 #cccce6;43909f #cccce6" focus="100%" type="gradient"/>
          <o:lock v:ext="edit" shapetype="t"/>
          <v:textbox inset="2.88pt,2.88pt,2.88pt,2.88pt">
            <w:txbxContent>
              <w:tbl>
                <w:tblPr>
                  <w:tblW w:w="7371" w:type="dxa"/>
                  <w:tblInd w:w="817" w:type="dxa"/>
                  <w:tblLook w:val="00A0"/>
                </w:tblPr>
                <w:tblGrid>
                  <w:gridCol w:w="7371"/>
                </w:tblGrid>
                <w:tr w:rsidR="00A97FD0" w:rsidRPr="00124C09" w:rsidTr="00124C09">
                  <w:tc>
                    <w:tcPr>
                      <w:tcW w:w="7371" w:type="dxa"/>
                    </w:tcPr>
                    <w:p w:rsidR="00A97FD0" w:rsidRPr="00124C09" w:rsidRDefault="00A97FD0" w:rsidP="00124C09">
                      <w:pPr>
                        <w:spacing w:after="0" w:line="240" w:lineRule="auto"/>
                        <w:jc w:val="right"/>
                        <w:rPr>
                          <w:sz w:val="28"/>
                          <w:szCs w:val="28"/>
                        </w:rPr>
                      </w:pPr>
                      <w:r w:rsidRPr="00124C09">
                        <w:rPr>
                          <w:b/>
                          <w:color w:val="244061"/>
                          <w:sz w:val="28"/>
                          <w:szCs w:val="28"/>
                        </w:rPr>
                        <w:t>οικονομία &amp; επιχειρήσεις</w:t>
                      </w:r>
                    </w:p>
                  </w:tc>
                </w:tr>
              </w:tbl>
              <w:p w:rsidR="00A97FD0" w:rsidRDefault="00A97FD0" w:rsidP="00361C4E">
                <w:pPr>
                  <w:jc w:val="center"/>
                </w:pPr>
              </w:p>
            </w:txbxContent>
          </v:textbox>
          <w10:wrap type="topAndBottom"/>
        </v:rect>
      </w:pict>
    </w: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2062" type="#_x0000_t75" alt="gr_epist_top" style="position:absolute;margin-left:-4.55pt;margin-top:-6.2pt;width:107.7pt;height:48.35pt;z-index:-251655680;visibility:visible">
          <v:imagedata r:id="rId1" o:title="" croptop="9881f" cropbottom="13175f" cropleft="3903f" cropright="39808f"/>
          <w10:wrap type="topAndBottom"/>
        </v:shape>
      </w:pict>
    </w:r>
  </w:p>
  <w:p w:rsidR="00A97FD0" w:rsidRDefault="00A97FD0" w:rsidP="00361C4E">
    <w:pPr>
      <w:pStyle w:val="Header"/>
      <w:tabs>
        <w:tab w:val="clear" w:pos="4153"/>
        <w:tab w:val="clear" w:pos="8306"/>
        <w:tab w:val="left" w:pos="2505"/>
      </w:tabs>
    </w:pPr>
    <w:r>
      <w:tab/>
    </w:r>
  </w:p>
  <w:p w:rsidR="00A97FD0" w:rsidRPr="004A3F50" w:rsidRDefault="00A97FD0" w:rsidP="004A3F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D58C7"/>
    <w:multiLevelType w:val="hybridMultilevel"/>
    <w:tmpl w:val="69CAFAC6"/>
    <w:lvl w:ilvl="0" w:tplc="FF4E07DA">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
    <w:nsid w:val="09DD07EF"/>
    <w:multiLevelType w:val="hybridMultilevel"/>
    <w:tmpl w:val="A3C07178"/>
    <w:lvl w:ilvl="0" w:tplc="7D1ABD7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FB5AE4"/>
    <w:multiLevelType w:val="hybridMultilevel"/>
    <w:tmpl w:val="3EE2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454001"/>
    <w:multiLevelType w:val="hybridMultilevel"/>
    <w:tmpl w:val="BCB63B22"/>
    <w:lvl w:ilvl="0" w:tplc="BD143382">
      <w:numFmt w:val="bullet"/>
      <w:lvlText w:val="•"/>
      <w:lvlJc w:val="left"/>
      <w:pPr>
        <w:ind w:left="720" w:hanging="675"/>
      </w:pPr>
      <w:rPr>
        <w:rFonts w:ascii="Calibri" w:eastAsia="Times New Roman" w:hAnsi="Calibri" w:hint="default"/>
      </w:rPr>
    </w:lvl>
    <w:lvl w:ilvl="1" w:tplc="04090003" w:tentative="1">
      <w:start w:val="1"/>
      <w:numFmt w:val="bullet"/>
      <w:lvlText w:val="o"/>
      <w:lvlJc w:val="left"/>
      <w:pPr>
        <w:ind w:left="1125" w:hanging="360"/>
      </w:pPr>
      <w:rPr>
        <w:rFonts w:ascii="Courier New" w:hAnsi="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
    <w:nsid w:val="0DBF10D3"/>
    <w:multiLevelType w:val="hybridMultilevel"/>
    <w:tmpl w:val="5A48E0B8"/>
    <w:lvl w:ilvl="0" w:tplc="7D1ABD7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0920CA"/>
    <w:multiLevelType w:val="hybridMultilevel"/>
    <w:tmpl w:val="2AAA2B3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
    <w:nsid w:val="0E5742B7"/>
    <w:multiLevelType w:val="hybridMultilevel"/>
    <w:tmpl w:val="5E22911E"/>
    <w:lvl w:ilvl="0" w:tplc="DA267914">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A64262E"/>
    <w:multiLevelType w:val="hybridMultilevel"/>
    <w:tmpl w:val="F3546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8608E4"/>
    <w:multiLevelType w:val="hybridMultilevel"/>
    <w:tmpl w:val="93140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8F1C12"/>
    <w:multiLevelType w:val="hybridMultilevel"/>
    <w:tmpl w:val="A77A837E"/>
    <w:lvl w:ilvl="0" w:tplc="07442B4C">
      <w:start w:val="1"/>
      <w:numFmt w:val="decimal"/>
      <w:lvlText w:val="%1)"/>
      <w:lvlJc w:val="left"/>
      <w:pPr>
        <w:ind w:left="720" w:hanging="360"/>
      </w:pPr>
      <w:rPr>
        <w:rFonts w:cs="Times New Roman"/>
        <w:b/>
        <w:color w:val="000000"/>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0">
    <w:nsid w:val="24162742"/>
    <w:multiLevelType w:val="hybridMultilevel"/>
    <w:tmpl w:val="8206A5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4D70989"/>
    <w:multiLevelType w:val="hybridMultilevel"/>
    <w:tmpl w:val="F5C8B78A"/>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12">
    <w:nsid w:val="258F10E8"/>
    <w:multiLevelType w:val="hybridMultilevel"/>
    <w:tmpl w:val="8B54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0369E4"/>
    <w:multiLevelType w:val="hybridMultilevel"/>
    <w:tmpl w:val="39224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8871EC"/>
    <w:multiLevelType w:val="hybridMultilevel"/>
    <w:tmpl w:val="700CD892"/>
    <w:lvl w:ilvl="0" w:tplc="2D00A80A">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5">
    <w:nsid w:val="29EE53C3"/>
    <w:multiLevelType w:val="hybridMultilevel"/>
    <w:tmpl w:val="454C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521D86"/>
    <w:multiLevelType w:val="hybridMultilevel"/>
    <w:tmpl w:val="A236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F174CD"/>
    <w:multiLevelType w:val="hybridMultilevel"/>
    <w:tmpl w:val="228E215C"/>
    <w:lvl w:ilvl="0" w:tplc="5A804B02">
      <w:numFmt w:val="bullet"/>
      <w:lvlText w:val="•"/>
      <w:lvlJc w:val="left"/>
      <w:pPr>
        <w:ind w:left="536" w:hanging="360"/>
      </w:pPr>
      <w:rPr>
        <w:rFonts w:ascii="Calibri" w:eastAsia="Times New Roman" w:hAnsi="Calibri" w:hint="default"/>
      </w:rPr>
    </w:lvl>
    <w:lvl w:ilvl="1" w:tplc="04090003" w:tentative="1">
      <w:start w:val="1"/>
      <w:numFmt w:val="bullet"/>
      <w:lvlText w:val="o"/>
      <w:lvlJc w:val="left"/>
      <w:pPr>
        <w:ind w:left="1256" w:hanging="360"/>
      </w:pPr>
      <w:rPr>
        <w:rFonts w:ascii="Courier New" w:hAnsi="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18">
    <w:nsid w:val="32DC54CE"/>
    <w:multiLevelType w:val="hybridMultilevel"/>
    <w:tmpl w:val="013CCC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3237B3B"/>
    <w:multiLevelType w:val="hybridMultilevel"/>
    <w:tmpl w:val="C914A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226190"/>
    <w:multiLevelType w:val="hybridMultilevel"/>
    <w:tmpl w:val="9B0A34C4"/>
    <w:lvl w:ilvl="0" w:tplc="073279B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44AF27ED"/>
    <w:multiLevelType w:val="hybridMultilevel"/>
    <w:tmpl w:val="CA5EF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3C60A4"/>
    <w:multiLevelType w:val="hybridMultilevel"/>
    <w:tmpl w:val="A14A1294"/>
    <w:lvl w:ilvl="0" w:tplc="04080011">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3">
    <w:nsid w:val="48540288"/>
    <w:multiLevelType w:val="multilevel"/>
    <w:tmpl w:val="9780A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197FCE"/>
    <w:multiLevelType w:val="hybridMultilevel"/>
    <w:tmpl w:val="559463CC"/>
    <w:lvl w:ilvl="0" w:tplc="D0F4CEB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B7F7FA2"/>
    <w:multiLevelType w:val="multilevel"/>
    <w:tmpl w:val="8BF6F2E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6">
    <w:nsid w:val="4BF370FC"/>
    <w:multiLevelType w:val="hybridMultilevel"/>
    <w:tmpl w:val="2F6A5B0C"/>
    <w:lvl w:ilvl="0" w:tplc="372AB21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4C6D4039"/>
    <w:multiLevelType w:val="hybridMultilevel"/>
    <w:tmpl w:val="2F0087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4E2D4E4C"/>
    <w:multiLevelType w:val="hybridMultilevel"/>
    <w:tmpl w:val="C4881C7E"/>
    <w:lvl w:ilvl="0" w:tplc="1DA8FEF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0D00AA0"/>
    <w:multiLevelType w:val="hybridMultilevel"/>
    <w:tmpl w:val="A9BAED96"/>
    <w:lvl w:ilvl="0" w:tplc="725A5A3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1CC3994"/>
    <w:multiLevelType w:val="hybridMultilevel"/>
    <w:tmpl w:val="ED1874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36B7F55"/>
    <w:multiLevelType w:val="hybridMultilevel"/>
    <w:tmpl w:val="25F8FDA0"/>
    <w:lvl w:ilvl="0" w:tplc="68F01E70">
      <w:numFmt w:val="bullet"/>
      <w:lvlText w:val=""/>
      <w:lvlJc w:val="left"/>
      <w:pPr>
        <w:ind w:left="1069" w:hanging="360"/>
      </w:pPr>
      <w:rPr>
        <w:rFonts w:ascii="Symbol" w:eastAsia="Times New Roman"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2">
    <w:nsid w:val="57924C15"/>
    <w:multiLevelType w:val="hybridMultilevel"/>
    <w:tmpl w:val="0362172E"/>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33">
    <w:nsid w:val="62AC2C62"/>
    <w:multiLevelType w:val="hybridMultilevel"/>
    <w:tmpl w:val="DADE1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65643D"/>
    <w:multiLevelType w:val="hybridMultilevel"/>
    <w:tmpl w:val="8A4291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65182426"/>
    <w:multiLevelType w:val="hybridMultilevel"/>
    <w:tmpl w:val="1F881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CE7D1D"/>
    <w:multiLevelType w:val="hybridMultilevel"/>
    <w:tmpl w:val="0FB2A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713ECE"/>
    <w:multiLevelType w:val="hybridMultilevel"/>
    <w:tmpl w:val="46B05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E92105"/>
    <w:multiLevelType w:val="hybridMultilevel"/>
    <w:tmpl w:val="F22C41F0"/>
    <w:lvl w:ilvl="0" w:tplc="DB70EBBA">
      <w:numFmt w:val="bullet"/>
      <w:lvlText w:val="-"/>
      <w:lvlJc w:val="left"/>
      <w:pPr>
        <w:ind w:left="720" w:hanging="360"/>
      </w:pPr>
      <w:rPr>
        <w:rFonts w:ascii="Calibri" w:eastAsia="Times New Roman" w:hAnsi="Calibri"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6DF50CF7"/>
    <w:multiLevelType w:val="hybridMultilevel"/>
    <w:tmpl w:val="48E01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7403FC"/>
    <w:multiLevelType w:val="hybridMultilevel"/>
    <w:tmpl w:val="37E0E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2650CD"/>
    <w:multiLevelType w:val="hybridMultilevel"/>
    <w:tmpl w:val="C076079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76B12639"/>
    <w:multiLevelType w:val="hybridMultilevel"/>
    <w:tmpl w:val="B81EED58"/>
    <w:lvl w:ilvl="0" w:tplc="A030008E">
      <w:start w:val="1"/>
      <w:numFmt w:val="decimal"/>
      <w:lvlText w:val="%1)"/>
      <w:lvlJc w:val="left"/>
      <w:pPr>
        <w:ind w:left="1080" w:hanging="72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43">
    <w:nsid w:val="7D852513"/>
    <w:multiLevelType w:val="hybridMultilevel"/>
    <w:tmpl w:val="15B4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975FE9"/>
    <w:multiLevelType w:val="hybridMultilevel"/>
    <w:tmpl w:val="6FC2DB5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5">
    <w:nsid w:val="7ECE6987"/>
    <w:multiLevelType w:val="hybridMultilevel"/>
    <w:tmpl w:val="39086834"/>
    <w:lvl w:ilvl="0" w:tplc="2D00A80A">
      <w:start w:val="1"/>
      <w:numFmt w:val="decimal"/>
      <w:lvlText w:val="%1)"/>
      <w:lvlJc w:val="left"/>
      <w:pPr>
        <w:ind w:left="360" w:hanging="360"/>
      </w:pPr>
      <w:rPr>
        <w:rFonts w:cs="Times New Roman"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46">
    <w:nsid w:val="7EDC17E8"/>
    <w:multiLevelType w:val="hybridMultilevel"/>
    <w:tmpl w:val="9FEC8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CC0748"/>
    <w:multiLevelType w:val="hybridMultilevel"/>
    <w:tmpl w:val="4EE894F6"/>
    <w:lvl w:ilvl="0" w:tplc="A05A0DD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num>
  <w:num w:numId="3">
    <w:abstractNumId w:val="32"/>
  </w:num>
  <w:num w:numId="4">
    <w:abstractNumId w:val="11"/>
  </w:num>
  <w:num w:numId="5">
    <w:abstractNumId w:val="13"/>
  </w:num>
  <w:num w:numId="6">
    <w:abstractNumId w:val="17"/>
  </w:num>
  <w:num w:numId="7">
    <w:abstractNumId w:val="31"/>
  </w:num>
  <w:num w:numId="8">
    <w:abstractNumId w:val="44"/>
  </w:num>
  <w:num w:numId="9">
    <w:abstractNumId w:val="38"/>
  </w:num>
  <w:num w:numId="10">
    <w:abstractNumId w:val="10"/>
  </w:num>
  <w:num w:numId="11">
    <w:abstractNumId w:val="12"/>
  </w:num>
  <w:num w:numId="12">
    <w:abstractNumId w:val="7"/>
  </w:num>
  <w:num w:numId="13">
    <w:abstractNumId w:val="21"/>
  </w:num>
  <w:num w:numId="14">
    <w:abstractNumId w:val="2"/>
  </w:num>
  <w:num w:numId="15">
    <w:abstractNumId w:val="35"/>
  </w:num>
  <w:num w:numId="16">
    <w:abstractNumId w:val="4"/>
  </w:num>
  <w:num w:numId="17">
    <w:abstractNumId w:val="19"/>
  </w:num>
  <w:num w:numId="18">
    <w:abstractNumId w:val="29"/>
  </w:num>
  <w:num w:numId="19">
    <w:abstractNumId w:val="26"/>
  </w:num>
  <w:num w:numId="20">
    <w:abstractNumId w:val="28"/>
  </w:num>
  <w:num w:numId="21">
    <w:abstractNumId w:val="24"/>
  </w:num>
  <w:num w:numId="22">
    <w:abstractNumId w:val="20"/>
  </w:num>
  <w:num w:numId="23">
    <w:abstractNumId w:val="43"/>
  </w:num>
  <w:num w:numId="24">
    <w:abstractNumId w:val="1"/>
  </w:num>
  <w:num w:numId="25">
    <w:abstractNumId w:val="40"/>
  </w:num>
  <w:num w:numId="26">
    <w:abstractNumId w:val="47"/>
  </w:num>
  <w:num w:numId="27">
    <w:abstractNumId w:val="14"/>
  </w:num>
  <w:num w:numId="28">
    <w:abstractNumId w:val="25"/>
  </w:num>
  <w:num w:numId="29">
    <w:abstractNumId w:val="45"/>
  </w:num>
  <w:num w:numId="30">
    <w:abstractNumId w:val="34"/>
  </w:num>
  <w:num w:numId="31">
    <w:abstractNumId w:val="42"/>
  </w:num>
  <w:num w:numId="32">
    <w:abstractNumId w:val="18"/>
  </w:num>
  <w:num w:numId="33">
    <w:abstractNumId w:val="37"/>
  </w:num>
  <w:num w:numId="34">
    <w:abstractNumId w:val="15"/>
  </w:num>
  <w:num w:numId="35">
    <w:abstractNumId w:val="3"/>
  </w:num>
  <w:num w:numId="36">
    <w:abstractNumId w:val="6"/>
  </w:num>
  <w:num w:numId="37">
    <w:abstractNumId w:val="27"/>
  </w:num>
  <w:num w:numId="38">
    <w:abstractNumId w:val="16"/>
  </w:num>
  <w:num w:numId="39">
    <w:abstractNumId w:val="39"/>
  </w:num>
  <w:num w:numId="40">
    <w:abstractNumId w:val="46"/>
  </w:num>
  <w:num w:numId="41">
    <w:abstractNumId w:val="3"/>
  </w:num>
  <w:num w:numId="42">
    <w:abstractNumId w:val="36"/>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num>
  <w:num w:numId="45">
    <w:abstractNumId w:val="41"/>
  </w:num>
  <w:num w:numId="46">
    <w:abstractNumId w:val="22"/>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num>
  <w:num w:numId="4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isplayBackgroundShape/>
  <w:defaultTabStop w:val="720"/>
  <w:characterSpacingControl w:val="doNotCompress"/>
  <w:hdrShapeDefaults>
    <o:shapedefaults v:ext="edit" spidmax="2064"/>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46D99"/>
    <w:rsid w:val="00000253"/>
    <w:rsid w:val="000004C1"/>
    <w:rsid w:val="00000F54"/>
    <w:rsid w:val="000013E8"/>
    <w:rsid w:val="000024FD"/>
    <w:rsid w:val="00002BD3"/>
    <w:rsid w:val="00002F7A"/>
    <w:rsid w:val="00002FAF"/>
    <w:rsid w:val="000033D4"/>
    <w:rsid w:val="0000399A"/>
    <w:rsid w:val="00005FC7"/>
    <w:rsid w:val="00006529"/>
    <w:rsid w:val="0000693C"/>
    <w:rsid w:val="00007ACD"/>
    <w:rsid w:val="00010587"/>
    <w:rsid w:val="0001076D"/>
    <w:rsid w:val="00011ACD"/>
    <w:rsid w:val="00011C78"/>
    <w:rsid w:val="00011D7E"/>
    <w:rsid w:val="00012AD0"/>
    <w:rsid w:val="000133AE"/>
    <w:rsid w:val="0001381F"/>
    <w:rsid w:val="00013A83"/>
    <w:rsid w:val="00014782"/>
    <w:rsid w:val="000149A5"/>
    <w:rsid w:val="00014E22"/>
    <w:rsid w:val="00015615"/>
    <w:rsid w:val="00017169"/>
    <w:rsid w:val="000175C2"/>
    <w:rsid w:val="000200D6"/>
    <w:rsid w:val="000202D6"/>
    <w:rsid w:val="00020792"/>
    <w:rsid w:val="00021525"/>
    <w:rsid w:val="00021ADF"/>
    <w:rsid w:val="00021B42"/>
    <w:rsid w:val="0002225C"/>
    <w:rsid w:val="000224B4"/>
    <w:rsid w:val="00022633"/>
    <w:rsid w:val="00024480"/>
    <w:rsid w:val="00025EC0"/>
    <w:rsid w:val="0002645E"/>
    <w:rsid w:val="00027207"/>
    <w:rsid w:val="0002776D"/>
    <w:rsid w:val="00027886"/>
    <w:rsid w:val="00027ECB"/>
    <w:rsid w:val="00030EB8"/>
    <w:rsid w:val="00032063"/>
    <w:rsid w:val="00032A08"/>
    <w:rsid w:val="00032D07"/>
    <w:rsid w:val="000335C8"/>
    <w:rsid w:val="00033A22"/>
    <w:rsid w:val="00033F62"/>
    <w:rsid w:val="000349D8"/>
    <w:rsid w:val="00034DBD"/>
    <w:rsid w:val="00035304"/>
    <w:rsid w:val="00035308"/>
    <w:rsid w:val="00035409"/>
    <w:rsid w:val="000357EC"/>
    <w:rsid w:val="00035DF9"/>
    <w:rsid w:val="000366B7"/>
    <w:rsid w:val="00036D29"/>
    <w:rsid w:val="00037B15"/>
    <w:rsid w:val="00041A85"/>
    <w:rsid w:val="00041BEC"/>
    <w:rsid w:val="00042345"/>
    <w:rsid w:val="00042A55"/>
    <w:rsid w:val="00043804"/>
    <w:rsid w:val="0004382D"/>
    <w:rsid w:val="00043B20"/>
    <w:rsid w:val="0004534F"/>
    <w:rsid w:val="00046ED7"/>
    <w:rsid w:val="00047289"/>
    <w:rsid w:val="00047C66"/>
    <w:rsid w:val="00047E4E"/>
    <w:rsid w:val="0005028F"/>
    <w:rsid w:val="0005095E"/>
    <w:rsid w:val="000513C5"/>
    <w:rsid w:val="000520D0"/>
    <w:rsid w:val="00052A27"/>
    <w:rsid w:val="00052B80"/>
    <w:rsid w:val="00052F89"/>
    <w:rsid w:val="00052FE0"/>
    <w:rsid w:val="00053361"/>
    <w:rsid w:val="000535B3"/>
    <w:rsid w:val="00053F95"/>
    <w:rsid w:val="0005444A"/>
    <w:rsid w:val="00055001"/>
    <w:rsid w:val="00055737"/>
    <w:rsid w:val="0005575D"/>
    <w:rsid w:val="00055885"/>
    <w:rsid w:val="0005656F"/>
    <w:rsid w:val="00056D16"/>
    <w:rsid w:val="00060C1E"/>
    <w:rsid w:val="00061AE7"/>
    <w:rsid w:val="00061D04"/>
    <w:rsid w:val="00062566"/>
    <w:rsid w:val="00064044"/>
    <w:rsid w:val="0006438E"/>
    <w:rsid w:val="000647D2"/>
    <w:rsid w:val="00064DF6"/>
    <w:rsid w:val="000652FD"/>
    <w:rsid w:val="00065934"/>
    <w:rsid w:val="00065AEC"/>
    <w:rsid w:val="00065F7B"/>
    <w:rsid w:val="0006646A"/>
    <w:rsid w:val="0006700A"/>
    <w:rsid w:val="000672C8"/>
    <w:rsid w:val="00067BD2"/>
    <w:rsid w:val="00067D85"/>
    <w:rsid w:val="00067E42"/>
    <w:rsid w:val="000702D3"/>
    <w:rsid w:val="00072340"/>
    <w:rsid w:val="000724FB"/>
    <w:rsid w:val="00072724"/>
    <w:rsid w:val="00072FA5"/>
    <w:rsid w:val="0007306E"/>
    <w:rsid w:val="00073B53"/>
    <w:rsid w:val="00073DBA"/>
    <w:rsid w:val="00074077"/>
    <w:rsid w:val="00074913"/>
    <w:rsid w:val="0007562F"/>
    <w:rsid w:val="00075C33"/>
    <w:rsid w:val="00076049"/>
    <w:rsid w:val="00076BEC"/>
    <w:rsid w:val="00077724"/>
    <w:rsid w:val="00077941"/>
    <w:rsid w:val="00077D2B"/>
    <w:rsid w:val="00077E45"/>
    <w:rsid w:val="00077ED1"/>
    <w:rsid w:val="000800D3"/>
    <w:rsid w:val="0008137A"/>
    <w:rsid w:val="000824FF"/>
    <w:rsid w:val="000825EE"/>
    <w:rsid w:val="00082C6D"/>
    <w:rsid w:val="00083A4B"/>
    <w:rsid w:val="00083C77"/>
    <w:rsid w:val="0008470E"/>
    <w:rsid w:val="00084B64"/>
    <w:rsid w:val="000853FD"/>
    <w:rsid w:val="00085C0C"/>
    <w:rsid w:val="0008653D"/>
    <w:rsid w:val="000868F7"/>
    <w:rsid w:val="00086BC4"/>
    <w:rsid w:val="00086C6A"/>
    <w:rsid w:val="000871BC"/>
    <w:rsid w:val="0008770B"/>
    <w:rsid w:val="00087BD2"/>
    <w:rsid w:val="00090B57"/>
    <w:rsid w:val="00091771"/>
    <w:rsid w:val="0009190F"/>
    <w:rsid w:val="00091C1C"/>
    <w:rsid w:val="00091F98"/>
    <w:rsid w:val="00092E15"/>
    <w:rsid w:val="0009370D"/>
    <w:rsid w:val="0009413D"/>
    <w:rsid w:val="0009500A"/>
    <w:rsid w:val="00095823"/>
    <w:rsid w:val="0009590C"/>
    <w:rsid w:val="00095BDC"/>
    <w:rsid w:val="000962F6"/>
    <w:rsid w:val="00096587"/>
    <w:rsid w:val="00097162"/>
    <w:rsid w:val="0009779F"/>
    <w:rsid w:val="000A0686"/>
    <w:rsid w:val="000A108E"/>
    <w:rsid w:val="000A1480"/>
    <w:rsid w:val="000A1839"/>
    <w:rsid w:val="000A297D"/>
    <w:rsid w:val="000A3417"/>
    <w:rsid w:val="000A3EB9"/>
    <w:rsid w:val="000A3FD2"/>
    <w:rsid w:val="000A4B6D"/>
    <w:rsid w:val="000A4EDC"/>
    <w:rsid w:val="000A4F44"/>
    <w:rsid w:val="000A5048"/>
    <w:rsid w:val="000A54D9"/>
    <w:rsid w:val="000A56CE"/>
    <w:rsid w:val="000A59CC"/>
    <w:rsid w:val="000A5A19"/>
    <w:rsid w:val="000A6528"/>
    <w:rsid w:val="000A6BCD"/>
    <w:rsid w:val="000A6D5C"/>
    <w:rsid w:val="000A7160"/>
    <w:rsid w:val="000A7167"/>
    <w:rsid w:val="000A71F8"/>
    <w:rsid w:val="000A7EF5"/>
    <w:rsid w:val="000B086B"/>
    <w:rsid w:val="000B16C6"/>
    <w:rsid w:val="000B1BF8"/>
    <w:rsid w:val="000B1ECD"/>
    <w:rsid w:val="000B2013"/>
    <w:rsid w:val="000B291F"/>
    <w:rsid w:val="000B2C97"/>
    <w:rsid w:val="000B3D57"/>
    <w:rsid w:val="000B3EA4"/>
    <w:rsid w:val="000B5444"/>
    <w:rsid w:val="000B63FB"/>
    <w:rsid w:val="000B77DE"/>
    <w:rsid w:val="000C05CA"/>
    <w:rsid w:val="000C1292"/>
    <w:rsid w:val="000C1B1A"/>
    <w:rsid w:val="000C3545"/>
    <w:rsid w:val="000C3675"/>
    <w:rsid w:val="000C3B86"/>
    <w:rsid w:val="000C59F6"/>
    <w:rsid w:val="000C6180"/>
    <w:rsid w:val="000C70DA"/>
    <w:rsid w:val="000C757A"/>
    <w:rsid w:val="000D02DF"/>
    <w:rsid w:val="000D0359"/>
    <w:rsid w:val="000D1422"/>
    <w:rsid w:val="000D1B73"/>
    <w:rsid w:val="000D209D"/>
    <w:rsid w:val="000D2256"/>
    <w:rsid w:val="000D3216"/>
    <w:rsid w:val="000D325A"/>
    <w:rsid w:val="000D33DE"/>
    <w:rsid w:val="000D3854"/>
    <w:rsid w:val="000D3AC4"/>
    <w:rsid w:val="000D4622"/>
    <w:rsid w:val="000D4C85"/>
    <w:rsid w:val="000D4D4C"/>
    <w:rsid w:val="000D6046"/>
    <w:rsid w:val="000D7760"/>
    <w:rsid w:val="000E0215"/>
    <w:rsid w:val="000E0899"/>
    <w:rsid w:val="000E089A"/>
    <w:rsid w:val="000E091A"/>
    <w:rsid w:val="000E099E"/>
    <w:rsid w:val="000E10A0"/>
    <w:rsid w:val="000E1380"/>
    <w:rsid w:val="000E24AB"/>
    <w:rsid w:val="000E250C"/>
    <w:rsid w:val="000E2E34"/>
    <w:rsid w:val="000E3D1D"/>
    <w:rsid w:val="000E3E20"/>
    <w:rsid w:val="000E4217"/>
    <w:rsid w:val="000E61AC"/>
    <w:rsid w:val="000E66B0"/>
    <w:rsid w:val="000E67B3"/>
    <w:rsid w:val="000E68D8"/>
    <w:rsid w:val="000E6BF8"/>
    <w:rsid w:val="000E7F01"/>
    <w:rsid w:val="000F0A02"/>
    <w:rsid w:val="000F148C"/>
    <w:rsid w:val="000F178F"/>
    <w:rsid w:val="000F1CD5"/>
    <w:rsid w:val="000F23C9"/>
    <w:rsid w:val="000F23E0"/>
    <w:rsid w:val="000F25C6"/>
    <w:rsid w:val="000F293F"/>
    <w:rsid w:val="000F3956"/>
    <w:rsid w:val="000F39C4"/>
    <w:rsid w:val="000F3DAA"/>
    <w:rsid w:val="000F3F8F"/>
    <w:rsid w:val="000F49F6"/>
    <w:rsid w:val="000F5937"/>
    <w:rsid w:val="000F5BF2"/>
    <w:rsid w:val="000F6CBD"/>
    <w:rsid w:val="00100B8D"/>
    <w:rsid w:val="00101200"/>
    <w:rsid w:val="0010199D"/>
    <w:rsid w:val="00101CF8"/>
    <w:rsid w:val="00102106"/>
    <w:rsid w:val="0010257E"/>
    <w:rsid w:val="00102B8E"/>
    <w:rsid w:val="00102FF2"/>
    <w:rsid w:val="0010317D"/>
    <w:rsid w:val="001031A3"/>
    <w:rsid w:val="0010341D"/>
    <w:rsid w:val="00103C32"/>
    <w:rsid w:val="0010449E"/>
    <w:rsid w:val="00106F8A"/>
    <w:rsid w:val="0010754C"/>
    <w:rsid w:val="0010755C"/>
    <w:rsid w:val="001076F1"/>
    <w:rsid w:val="00107972"/>
    <w:rsid w:val="001107F7"/>
    <w:rsid w:val="001108A6"/>
    <w:rsid w:val="00111F71"/>
    <w:rsid w:val="00112A6F"/>
    <w:rsid w:val="00112A85"/>
    <w:rsid w:val="00113319"/>
    <w:rsid w:val="00113B74"/>
    <w:rsid w:val="00114594"/>
    <w:rsid w:val="001147C6"/>
    <w:rsid w:val="00114D3A"/>
    <w:rsid w:val="00114E32"/>
    <w:rsid w:val="001169CE"/>
    <w:rsid w:val="00116A7E"/>
    <w:rsid w:val="00117B54"/>
    <w:rsid w:val="00120C7F"/>
    <w:rsid w:val="00121247"/>
    <w:rsid w:val="0012217D"/>
    <w:rsid w:val="00122FC6"/>
    <w:rsid w:val="001236D0"/>
    <w:rsid w:val="00123B88"/>
    <w:rsid w:val="00123E4F"/>
    <w:rsid w:val="00124906"/>
    <w:rsid w:val="00124C09"/>
    <w:rsid w:val="0012542E"/>
    <w:rsid w:val="00125888"/>
    <w:rsid w:val="00126F56"/>
    <w:rsid w:val="001275E9"/>
    <w:rsid w:val="00127826"/>
    <w:rsid w:val="0013091F"/>
    <w:rsid w:val="00131857"/>
    <w:rsid w:val="00131AC7"/>
    <w:rsid w:val="00132F3B"/>
    <w:rsid w:val="00133021"/>
    <w:rsid w:val="00133F08"/>
    <w:rsid w:val="00133F92"/>
    <w:rsid w:val="0013548B"/>
    <w:rsid w:val="001355D0"/>
    <w:rsid w:val="00135D74"/>
    <w:rsid w:val="00136819"/>
    <w:rsid w:val="0013720F"/>
    <w:rsid w:val="001372AF"/>
    <w:rsid w:val="00140262"/>
    <w:rsid w:val="00141288"/>
    <w:rsid w:val="0014144A"/>
    <w:rsid w:val="00141911"/>
    <w:rsid w:val="0014205F"/>
    <w:rsid w:val="001442EC"/>
    <w:rsid w:val="00144B4A"/>
    <w:rsid w:val="0014515C"/>
    <w:rsid w:val="00145B6E"/>
    <w:rsid w:val="00145C96"/>
    <w:rsid w:val="00145D1F"/>
    <w:rsid w:val="00147163"/>
    <w:rsid w:val="00147276"/>
    <w:rsid w:val="001479E8"/>
    <w:rsid w:val="00147E44"/>
    <w:rsid w:val="001500D6"/>
    <w:rsid w:val="001503BF"/>
    <w:rsid w:val="0015049C"/>
    <w:rsid w:val="00150AFF"/>
    <w:rsid w:val="00150CDE"/>
    <w:rsid w:val="00151C98"/>
    <w:rsid w:val="00152A97"/>
    <w:rsid w:val="0015397E"/>
    <w:rsid w:val="00153D7E"/>
    <w:rsid w:val="001547DD"/>
    <w:rsid w:val="00155C8B"/>
    <w:rsid w:val="001575F2"/>
    <w:rsid w:val="001612BD"/>
    <w:rsid w:val="00162947"/>
    <w:rsid w:val="001638B1"/>
    <w:rsid w:val="00163A6C"/>
    <w:rsid w:val="00163A90"/>
    <w:rsid w:val="00164053"/>
    <w:rsid w:val="00165C87"/>
    <w:rsid w:val="00165DCF"/>
    <w:rsid w:val="00166718"/>
    <w:rsid w:val="00166D7B"/>
    <w:rsid w:val="00166E11"/>
    <w:rsid w:val="001675D8"/>
    <w:rsid w:val="001679E5"/>
    <w:rsid w:val="00171490"/>
    <w:rsid w:val="00171809"/>
    <w:rsid w:val="00172DC3"/>
    <w:rsid w:val="00173025"/>
    <w:rsid w:val="00173C72"/>
    <w:rsid w:val="00173FDE"/>
    <w:rsid w:val="001747EC"/>
    <w:rsid w:val="0017586A"/>
    <w:rsid w:val="00175D83"/>
    <w:rsid w:val="00176460"/>
    <w:rsid w:val="001774B3"/>
    <w:rsid w:val="00180229"/>
    <w:rsid w:val="00181D07"/>
    <w:rsid w:val="00181DD9"/>
    <w:rsid w:val="00181DEA"/>
    <w:rsid w:val="0018206C"/>
    <w:rsid w:val="00182830"/>
    <w:rsid w:val="001829BE"/>
    <w:rsid w:val="0018384A"/>
    <w:rsid w:val="00183C14"/>
    <w:rsid w:val="00183DA1"/>
    <w:rsid w:val="00184860"/>
    <w:rsid w:val="00184F59"/>
    <w:rsid w:val="00185D1E"/>
    <w:rsid w:val="00186402"/>
    <w:rsid w:val="0018662E"/>
    <w:rsid w:val="00187146"/>
    <w:rsid w:val="001874DD"/>
    <w:rsid w:val="0018785C"/>
    <w:rsid w:val="00192A75"/>
    <w:rsid w:val="001931EC"/>
    <w:rsid w:val="00193E93"/>
    <w:rsid w:val="00194242"/>
    <w:rsid w:val="00194A18"/>
    <w:rsid w:val="001955A1"/>
    <w:rsid w:val="001955D8"/>
    <w:rsid w:val="00195926"/>
    <w:rsid w:val="00196DF6"/>
    <w:rsid w:val="00196FA6"/>
    <w:rsid w:val="0019709E"/>
    <w:rsid w:val="00197363"/>
    <w:rsid w:val="001976D2"/>
    <w:rsid w:val="001A07CE"/>
    <w:rsid w:val="001A0C51"/>
    <w:rsid w:val="001A131C"/>
    <w:rsid w:val="001A261D"/>
    <w:rsid w:val="001A3992"/>
    <w:rsid w:val="001A48B2"/>
    <w:rsid w:val="001A4AB5"/>
    <w:rsid w:val="001A516A"/>
    <w:rsid w:val="001A5488"/>
    <w:rsid w:val="001A632A"/>
    <w:rsid w:val="001A65B6"/>
    <w:rsid w:val="001A6797"/>
    <w:rsid w:val="001A6CFF"/>
    <w:rsid w:val="001A7603"/>
    <w:rsid w:val="001B021A"/>
    <w:rsid w:val="001B061C"/>
    <w:rsid w:val="001B0E50"/>
    <w:rsid w:val="001B1531"/>
    <w:rsid w:val="001B1CF3"/>
    <w:rsid w:val="001B1E08"/>
    <w:rsid w:val="001B20FC"/>
    <w:rsid w:val="001B28FD"/>
    <w:rsid w:val="001B30E6"/>
    <w:rsid w:val="001B3403"/>
    <w:rsid w:val="001B3A2B"/>
    <w:rsid w:val="001B545B"/>
    <w:rsid w:val="001B575A"/>
    <w:rsid w:val="001B577A"/>
    <w:rsid w:val="001B58C2"/>
    <w:rsid w:val="001B5B18"/>
    <w:rsid w:val="001B6234"/>
    <w:rsid w:val="001B71AF"/>
    <w:rsid w:val="001B74A8"/>
    <w:rsid w:val="001B7597"/>
    <w:rsid w:val="001B7B71"/>
    <w:rsid w:val="001C1FAB"/>
    <w:rsid w:val="001C2BE0"/>
    <w:rsid w:val="001C2FD7"/>
    <w:rsid w:val="001C3129"/>
    <w:rsid w:val="001C3E0D"/>
    <w:rsid w:val="001C413B"/>
    <w:rsid w:val="001C45AF"/>
    <w:rsid w:val="001C4751"/>
    <w:rsid w:val="001C48D2"/>
    <w:rsid w:val="001C5EC5"/>
    <w:rsid w:val="001C6589"/>
    <w:rsid w:val="001C6F66"/>
    <w:rsid w:val="001C733D"/>
    <w:rsid w:val="001C7821"/>
    <w:rsid w:val="001D01E5"/>
    <w:rsid w:val="001D0602"/>
    <w:rsid w:val="001D0E68"/>
    <w:rsid w:val="001D0F87"/>
    <w:rsid w:val="001D1CE4"/>
    <w:rsid w:val="001D30FA"/>
    <w:rsid w:val="001D3E72"/>
    <w:rsid w:val="001D5C08"/>
    <w:rsid w:val="001D6E1C"/>
    <w:rsid w:val="001D76A5"/>
    <w:rsid w:val="001D7CD0"/>
    <w:rsid w:val="001E09C8"/>
    <w:rsid w:val="001E119E"/>
    <w:rsid w:val="001E1332"/>
    <w:rsid w:val="001E1ACF"/>
    <w:rsid w:val="001E256D"/>
    <w:rsid w:val="001E3DD4"/>
    <w:rsid w:val="001E40FD"/>
    <w:rsid w:val="001E4BEF"/>
    <w:rsid w:val="001E6B41"/>
    <w:rsid w:val="001E6EC2"/>
    <w:rsid w:val="001E6F45"/>
    <w:rsid w:val="001E6FA1"/>
    <w:rsid w:val="001E7303"/>
    <w:rsid w:val="001E7369"/>
    <w:rsid w:val="001E7457"/>
    <w:rsid w:val="001F068F"/>
    <w:rsid w:val="001F080E"/>
    <w:rsid w:val="001F0FA1"/>
    <w:rsid w:val="001F1149"/>
    <w:rsid w:val="001F167F"/>
    <w:rsid w:val="001F331C"/>
    <w:rsid w:val="001F3C19"/>
    <w:rsid w:val="001F4691"/>
    <w:rsid w:val="001F4E87"/>
    <w:rsid w:val="001F4F48"/>
    <w:rsid w:val="001F5311"/>
    <w:rsid w:val="001F6E4A"/>
    <w:rsid w:val="001F71B8"/>
    <w:rsid w:val="001F7941"/>
    <w:rsid w:val="001F795D"/>
    <w:rsid w:val="00200046"/>
    <w:rsid w:val="00200371"/>
    <w:rsid w:val="00200C33"/>
    <w:rsid w:val="00200FA8"/>
    <w:rsid w:val="002025C0"/>
    <w:rsid w:val="00203296"/>
    <w:rsid w:val="002033B3"/>
    <w:rsid w:val="00203FD7"/>
    <w:rsid w:val="0020403F"/>
    <w:rsid w:val="00204201"/>
    <w:rsid w:val="00206055"/>
    <w:rsid w:val="002063F6"/>
    <w:rsid w:val="00206ECA"/>
    <w:rsid w:val="00206F71"/>
    <w:rsid w:val="00207B4E"/>
    <w:rsid w:val="00210F37"/>
    <w:rsid w:val="002117D5"/>
    <w:rsid w:val="00211B2D"/>
    <w:rsid w:val="00211E59"/>
    <w:rsid w:val="0021292E"/>
    <w:rsid w:val="00214899"/>
    <w:rsid w:val="002159A8"/>
    <w:rsid w:val="00216107"/>
    <w:rsid w:val="00216F2C"/>
    <w:rsid w:val="0021729B"/>
    <w:rsid w:val="00217C31"/>
    <w:rsid w:val="00217EC7"/>
    <w:rsid w:val="00221069"/>
    <w:rsid w:val="00221342"/>
    <w:rsid w:val="0022374D"/>
    <w:rsid w:val="00223960"/>
    <w:rsid w:val="00224ECF"/>
    <w:rsid w:val="002269AB"/>
    <w:rsid w:val="00226AE5"/>
    <w:rsid w:val="00227346"/>
    <w:rsid w:val="002276D1"/>
    <w:rsid w:val="00227840"/>
    <w:rsid w:val="0023026B"/>
    <w:rsid w:val="002317D2"/>
    <w:rsid w:val="00231D3D"/>
    <w:rsid w:val="00231E6C"/>
    <w:rsid w:val="00231EEE"/>
    <w:rsid w:val="002324DD"/>
    <w:rsid w:val="00232C3F"/>
    <w:rsid w:val="00232E97"/>
    <w:rsid w:val="00233271"/>
    <w:rsid w:val="00233288"/>
    <w:rsid w:val="002338CD"/>
    <w:rsid w:val="00234669"/>
    <w:rsid w:val="00235E89"/>
    <w:rsid w:val="00235EA3"/>
    <w:rsid w:val="00236245"/>
    <w:rsid w:val="00236EAB"/>
    <w:rsid w:val="00236FE8"/>
    <w:rsid w:val="00240D91"/>
    <w:rsid w:val="00241063"/>
    <w:rsid w:val="002411FB"/>
    <w:rsid w:val="00241269"/>
    <w:rsid w:val="002416B5"/>
    <w:rsid w:val="002418E5"/>
    <w:rsid w:val="00241EA0"/>
    <w:rsid w:val="00242329"/>
    <w:rsid w:val="00242729"/>
    <w:rsid w:val="00242A5C"/>
    <w:rsid w:val="00243454"/>
    <w:rsid w:val="00243EBE"/>
    <w:rsid w:val="00243EED"/>
    <w:rsid w:val="0024451C"/>
    <w:rsid w:val="00245054"/>
    <w:rsid w:val="00245F65"/>
    <w:rsid w:val="00246C06"/>
    <w:rsid w:val="002471CF"/>
    <w:rsid w:val="002504DC"/>
    <w:rsid w:val="0025171B"/>
    <w:rsid w:val="00253802"/>
    <w:rsid w:val="0025434C"/>
    <w:rsid w:val="00254C1E"/>
    <w:rsid w:val="002556B1"/>
    <w:rsid w:val="00255A89"/>
    <w:rsid w:val="0025666D"/>
    <w:rsid w:val="00257713"/>
    <w:rsid w:val="00260382"/>
    <w:rsid w:val="002603F5"/>
    <w:rsid w:val="00260D63"/>
    <w:rsid w:val="0026121B"/>
    <w:rsid w:val="00261A19"/>
    <w:rsid w:val="00261ECC"/>
    <w:rsid w:val="00261F1F"/>
    <w:rsid w:val="00262D7E"/>
    <w:rsid w:val="00263037"/>
    <w:rsid w:val="002652A5"/>
    <w:rsid w:val="00265730"/>
    <w:rsid w:val="00266B5C"/>
    <w:rsid w:val="00266F4A"/>
    <w:rsid w:val="00267E5A"/>
    <w:rsid w:val="00270FCF"/>
    <w:rsid w:val="002711D4"/>
    <w:rsid w:val="0027121B"/>
    <w:rsid w:val="00272098"/>
    <w:rsid w:val="0027217B"/>
    <w:rsid w:val="00273650"/>
    <w:rsid w:val="00274D1F"/>
    <w:rsid w:val="00274E8B"/>
    <w:rsid w:val="00275767"/>
    <w:rsid w:val="00275F42"/>
    <w:rsid w:val="00276E8D"/>
    <w:rsid w:val="00277CDE"/>
    <w:rsid w:val="00277D10"/>
    <w:rsid w:val="002806A6"/>
    <w:rsid w:val="00280CF4"/>
    <w:rsid w:val="002820ED"/>
    <w:rsid w:val="00282937"/>
    <w:rsid w:val="00282EE8"/>
    <w:rsid w:val="002852D7"/>
    <w:rsid w:val="002854D1"/>
    <w:rsid w:val="0028614B"/>
    <w:rsid w:val="002862D1"/>
    <w:rsid w:val="002869C1"/>
    <w:rsid w:val="00286FAD"/>
    <w:rsid w:val="00287C53"/>
    <w:rsid w:val="00287DEB"/>
    <w:rsid w:val="002904CA"/>
    <w:rsid w:val="00290928"/>
    <w:rsid w:val="00290BD1"/>
    <w:rsid w:val="00290E5F"/>
    <w:rsid w:val="00291D95"/>
    <w:rsid w:val="00291F4C"/>
    <w:rsid w:val="00291F51"/>
    <w:rsid w:val="002920C6"/>
    <w:rsid w:val="002937E0"/>
    <w:rsid w:val="00293EB8"/>
    <w:rsid w:val="00294C55"/>
    <w:rsid w:val="00294D82"/>
    <w:rsid w:val="002954E4"/>
    <w:rsid w:val="00296C92"/>
    <w:rsid w:val="0029711D"/>
    <w:rsid w:val="00297398"/>
    <w:rsid w:val="002978F9"/>
    <w:rsid w:val="002A1308"/>
    <w:rsid w:val="002A2729"/>
    <w:rsid w:val="002A293D"/>
    <w:rsid w:val="002A2AD7"/>
    <w:rsid w:val="002A3198"/>
    <w:rsid w:val="002A3AEB"/>
    <w:rsid w:val="002A3D37"/>
    <w:rsid w:val="002A4689"/>
    <w:rsid w:val="002A47F1"/>
    <w:rsid w:val="002A60E5"/>
    <w:rsid w:val="002A71FD"/>
    <w:rsid w:val="002B217E"/>
    <w:rsid w:val="002B21C0"/>
    <w:rsid w:val="002B34DE"/>
    <w:rsid w:val="002B3846"/>
    <w:rsid w:val="002B3D60"/>
    <w:rsid w:val="002B4998"/>
    <w:rsid w:val="002B4C60"/>
    <w:rsid w:val="002B6D1E"/>
    <w:rsid w:val="002B6FE7"/>
    <w:rsid w:val="002B728B"/>
    <w:rsid w:val="002B7DB3"/>
    <w:rsid w:val="002C09AD"/>
    <w:rsid w:val="002C0C1E"/>
    <w:rsid w:val="002C3779"/>
    <w:rsid w:val="002C54EB"/>
    <w:rsid w:val="002C67B2"/>
    <w:rsid w:val="002D082D"/>
    <w:rsid w:val="002D1823"/>
    <w:rsid w:val="002D1B72"/>
    <w:rsid w:val="002D2044"/>
    <w:rsid w:val="002D25BA"/>
    <w:rsid w:val="002D3615"/>
    <w:rsid w:val="002D3831"/>
    <w:rsid w:val="002D3A36"/>
    <w:rsid w:val="002D40C6"/>
    <w:rsid w:val="002D4300"/>
    <w:rsid w:val="002D51EB"/>
    <w:rsid w:val="002D64DE"/>
    <w:rsid w:val="002D69EB"/>
    <w:rsid w:val="002D6E6B"/>
    <w:rsid w:val="002D6F55"/>
    <w:rsid w:val="002D7596"/>
    <w:rsid w:val="002D77E2"/>
    <w:rsid w:val="002D7826"/>
    <w:rsid w:val="002D7F2B"/>
    <w:rsid w:val="002E0092"/>
    <w:rsid w:val="002E0670"/>
    <w:rsid w:val="002E07A6"/>
    <w:rsid w:val="002E0C1B"/>
    <w:rsid w:val="002E0E23"/>
    <w:rsid w:val="002E1889"/>
    <w:rsid w:val="002E1960"/>
    <w:rsid w:val="002E2175"/>
    <w:rsid w:val="002E35E2"/>
    <w:rsid w:val="002E3EE8"/>
    <w:rsid w:val="002E4587"/>
    <w:rsid w:val="002E503B"/>
    <w:rsid w:val="002E515D"/>
    <w:rsid w:val="002F0525"/>
    <w:rsid w:val="002F076C"/>
    <w:rsid w:val="002F0928"/>
    <w:rsid w:val="002F0D55"/>
    <w:rsid w:val="002F1408"/>
    <w:rsid w:val="002F14CF"/>
    <w:rsid w:val="002F2807"/>
    <w:rsid w:val="002F2A7A"/>
    <w:rsid w:val="002F2C06"/>
    <w:rsid w:val="002F2EF9"/>
    <w:rsid w:val="002F363B"/>
    <w:rsid w:val="002F37B1"/>
    <w:rsid w:val="002F4FAB"/>
    <w:rsid w:val="002F5654"/>
    <w:rsid w:val="002F579B"/>
    <w:rsid w:val="002F653E"/>
    <w:rsid w:val="002F65B7"/>
    <w:rsid w:val="002F750A"/>
    <w:rsid w:val="002F7A56"/>
    <w:rsid w:val="002F7DA0"/>
    <w:rsid w:val="00300278"/>
    <w:rsid w:val="00300366"/>
    <w:rsid w:val="003005CC"/>
    <w:rsid w:val="0030077B"/>
    <w:rsid w:val="00300A5A"/>
    <w:rsid w:val="00301AAF"/>
    <w:rsid w:val="00302122"/>
    <w:rsid w:val="003021D2"/>
    <w:rsid w:val="003023EA"/>
    <w:rsid w:val="0030247F"/>
    <w:rsid w:val="003024AA"/>
    <w:rsid w:val="00303484"/>
    <w:rsid w:val="003037F8"/>
    <w:rsid w:val="00304583"/>
    <w:rsid w:val="0030465E"/>
    <w:rsid w:val="0030576B"/>
    <w:rsid w:val="00306B29"/>
    <w:rsid w:val="00307BA5"/>
    <w:rsid w:val="00307BFF"/>
    <w:rsid w:val="00307F13"/>
    <w:rsid w:val="00310735"/>
    <w:rsid w:val="00310E61"/>
    <w:rsid w:val="00310F63"/>
    <w:rsid w:val="00311713"/>
    <w:rsid w:val="00311DCC"/>
    <w:rsid w:val="00311FB4"/>
    <w:rsid w:val="00312957"/>
    <w:rsid w:val="003134E7"/>
    <w:rsid w:val="00313D17"/>
    <w:rsid w:val="00313D8B"/>
    <w:rsid w:val="00315140"/>
    <w:rsid w:val="00315CF1"/>
    <w:rsid w:val="00315F12"/>
    <w:rsid w:val="00316850"/>
    <w:rsid w:val="00316B1D"/>
    <w:rsid w:val="00317424"/>
    <w:rsid w:val="003214FC"/>
    <w:rsid w:val="003226DC"/>
    <w:rsid w:val="0032475D"/>
    <w:rsid w:val="003255AE"/>
    <w:rsid w:val="003259F1"/>
    <w:rsid w:val="003265A9"/>
    <w:rsid w:val="00326BB5"/>
    <w:rsid w:val="0032738F"/>
    <w:rsid w:val="00327A36"/>
    <w:rsid w:val="00327B52"/>
    <w:rsid w:val="003300B8"/>
    <w:rsid w:val="00330C1F"/>
    <w:rsid w:val="00332438"/>
    <w:rsid w:val="00333062"/>
    <w:rsid w:val="0033343C"/>
    <w:rsid w:val="00333474"/>
    <w:rsid w:val="00334000"/>
    <w:rsid w:val="00334991"/>
    <w:rsid w:val="00334D5F"/>
    <w:rsid w:val="00336056"/>
    <w:rsid w:val="003362CA"/>
    <w:rsid w:val="00336417"/>
    <w:rsid w:val="00336A16"/>
    <w:rsid w:val="00336B8F"/>
    <w:rsid w:val="00336C97"/>
    <w:rsid w:val="00337A49"/>
    <w:rsid w:val="00340136"/>
    <w:rsid w:val="0034035B"/>
    <w:rsid w:val="00341C62"/>
    <w:rsid w:val="003423A7"/>
    <w:rsid w:val="003423C0"/>
    <w:rsid w:val="00342795"/>
    <w:rsid w:val="00342916"/>
    <w:rsid w:val="00343CE0"/>
    <w:rsid w:val="0034497B"/>
    <w:rsid w:val="00344AC5"/>
    <w:rsid w:val="00345AF8"/>
    <w:rsid w:val="00345D1A"/>
    <w:rsid w:val="00345D4B"/>
    <w:rsid w:val="003460CC"/>
    <w:rsid w:val="0034638E"/>
    <w:rsid w:val="00347254"/>
    <w:rsid w:val="00347701"/>
    <w:rsid w:val="0034784B"/>
    <w:rsid w:val="00347C53"/>
    <w:rsid w:val="00347F25"/>
    <w:rsid w:val="003500A2"/>
    <w:rsid w:val="00350609"/>
    <w:rsid w:val="0035074F"/>
    <w:rsid w:val="00350CB1"/>
    <w:rsid w:val="00350EE3"/>
    <w:rsid w:val="00351271"/>
    <w:rsid w:val="0035166D"/>
    <w:rsid w:val="00351A65"/>
    <w:rsid w:val="0035280B"/>
    <w:rsid w:val="00352A9E"/>
    <w:rsid w:val="003538B7"/>
    <w:rsid w:val="0035479F"/>
    <w:rsid w:val="00354918"/>
    <w:rsid w:val="00354AFF"/>
    <w:rsid w:val="003551B7"/>
    <w:rsid w:val="00355426"/>
    <w:rsid w:val="00356CB4"/>
    <w:rsid w:val="00356DA1"/>
    <w:rsid w:val="00357D20"/>
    <w:rsid w:val="00360B95"/>
    <w:rsid w:val="003611B1"/>
    <w:rsid w:val="0036128D"/>
    <w:rsid w:val="00361850"/>
    <w:rsid w:val="00361C4E"/>
    <w:rsid w:val="00362471"/>
    <w:rsid w:val="00362A6A"/>
    <w:rsid w:val="00362C01"/>
    <w:rsid w:val="00363D75"/>
    <w:rsid w:val="00364FE8"/>
    <w:rsid w:val="003650A9"/>
    <w:rsid w:val="0036637C"/>
    <w:rsid w:val="0036654B"/>
    <w:rsid w:val="00366F6C"/>
    <w:rsid w:val="00367210"/>
    <w:rsid w:val="00367CE2"/>
    <w:rsid w:val="00367DA2"/>
    <w:rsid w:val="00367FFD"/>
    <w:rsid w:val="00370DFE"/>
    <w:rsid w:val="00371CF3"/>
    <w:rsid w:val="00371DA1"/>
    <w:rsid w:val="00371EE5"/>
    <w:rsid w:val="00372369"/>
    <w:rsid w:val="003725F9"/>
    <w:rsid w:val="00372FBA"/>
    <w:rsid w:val="00374B53"/>
    <w:rsid w:val="00374E09"/>
    <w:rsid w:val="003757CC"/>
    <w:rsid w:val="003758C4"/>
    <w:rsid w:val="00376763"/>
    <w:rsid w:val="00377841"/>
    <w:rsid w:val="00380162"/>
    <w:rsid w:val="00380A9C"/>
    <w:rsid w:val="00380CA5"/>
    <w:rsid w:val="003812C8"/>
    <w:rsid w:val="00382116"/>
    <w:rsid w:val="00382841"/>
    <w:rsid w:val="0038454A"/>
    <w:rsid w:val="00385EAE"/>
    <w:rsid w:val="003867B6"/>
    <w:rsid w:val="00386D4F"/>
    <w:rsid w:val="00387579"/>
    <w:rsid w:val="00387695"/>
    <w:rsid w:val="003915FA"/>
    <w:rsid w:val="00391F29"/>
    <w:rsid w:val="00392525"/>
    <w:rsid w:val="003933BD"/>
    <w:rsid w:val="003935F2"/>
    <w:rsid w:val="00394103"/>
    <w:rsid w:val="00394D9A"/>
    <w:rsid w:val="00394EA4"/>
    <w:rsid w:val="00394EC2"/>
    <w:rsid w:val="0039539A"/>
    <w:rsid w:val="003953EF"/>
    <w:rsid w:val="00395834"/>
    <w:rsid w:val="00395FB2"/>
    <w:rsid w:val="003964C4"/>
    <w:rsid w:val="003964C9"/>
    <w:rsid w:val="003971A2"/>
    <w:rsid w:val="00397520"/>
    <w:rsid w:val="003A0803"/>
    <w:rsid w:val="003A170C"/>
    <w:rsid w:val="003A309F"/>
    <w:rsid w:val="003A530A"/>
    <w:rsid w:val="003A62D0"/>
    <w:rsid w:val="003A7718"/>
    <w:rsid w:val="003B0C40"/>
    <w:rsid w:val="003B1512"/>
    <w:rsid w:val="003B28C3"/>
    <w:rsid w:val="003B2CB7"/>
    <w:rsid w:val="003B2D5F"/>
    <w:rsid w:val="003B2F36"/>
    <w:rsid w:val="003B3062"/>
    <w:rsid w:val="003B317A"/>
    <w:rsid w:val="003B32ED"/>
    <w:rsid w:val="003B3E2D"/>
    <w:rsid w:val="003B42CF"/>
    <w:rsid w:val="003B4467"/>
    <w:rsid w:val="003B49AC"/>
    <w:rsid w:val="003B4B55"/>
    <w:rsid w:val="003B6E08"/>
    <w:rsid w:val="003B7EA6"/>
    <w:rsid w:val="003C03E4"/>
    <w:rsid w:val="003C1543"/>
    <w:rsid w:val="003C1B21"/>
    <w:rsid w:val="003C2EB7"/>
    <w:rsid w:val="003C3181"/>
    <w:rsid w:val="003C3C93"/>
    <w:rsid w:val="003C4B3A"/>
    <w:rsid w:val="003C6B40"/>
    <w:rsid w:val="003C75B2"/>
    <w:rsid w:val="003C76CB"/>
    <w:rsid w:val="003D1532"/>
    <w:rsid w:val="003D163D"/>
    <w:rsid w:val="003D1754"/>
    <w:rsid w:val="003D1B6D"/>
    <w:rsid w:val="003D1EAC"/>
    <w:rsid w:val="003D323E"/>
    <w:rsid w:val="003D3598"/>
    <w:rsid w:val="003D37D7"/>
    <w:rsid w:val="003D3962"/>
    <w:rsid w:val="003D3FC0"/>
    <w:rsid w:val="003D434E"/>
    <w:rsid w:val="003D46A6"/>
    <w:rsid w:val="003D5244"/>
    <w:rsid w:val="003D5276"/>
    <w:rsid w:val="003D5A1F"/>
    <w:rsid w:val="003D5A59"/>
    <w:rsid w:val="003D5C91"/>
    <w:rsid w:val="003D6A2F"/>
    <w:rsid w:val="003E128F"/>
    <w:rsid w:val="003E16ED"/>
    <w:rsid w:val="003E19BC"/>
    <w:rsid w:val="003E1C9B"/>
    <w:rsid w:val="003E1D66"/>
    <w:rsid w:val="003E1E86"/>
    <w:rsid w:val="003E2745"/>
    <w:rsid w:val="003E2871"/>
    <w:rsid w:val="003E28FD"/>
    <w:rsid w:val="003E2AF8"/>
    <w:rsid w:val="003E2C6B"/>
    <w:rsid w:val="003E2DFF"/>
    <w:rsid w:val="003E347E"/>
    <w:rsid w:val="003E391D"/>
    <w:rsid w:val="003E46FE"/>
    <w:rsid w:val="003E52AD"/>
    <w:rsid w:val="003E5355"/>
    <w:rsid w:val="003E55EA"/>
    <w:rsid w:val="003E571B"/>
    <w:rsid w:val="003E5DAE"/>
    <w:rsid w:val="003E609E"/>
    <w:rsid w:val="003E7117"/>
    <w:rsid w:val="003E7973"/>
    <w:rsid w:val="003E7E84"/>
    <w:rsid w:val="003E7FF0"/>
    <w:rsid w:val="003F0236"/>
    <w:rsid w:val="003F0592"/>
    <w:rsid w:val="003F1C06"/>
    <w:rsid w:val="003F21A8"/>
    <w:rsid w:val="003F2233"/>
    <w:rsid w:val="003F29BD"/>
    <w:rsid w:val="003F2CA1"/>
    <w:rsid w:val="003F3035"/>
    <w:rsid w:val="003F3405"/>
    <w:rsid w:val="003F368D"/>
    <w:rsid w:val="003F3D85"/>
    <w:rsid w:val="003F3E24"/>
    <w:rsid w:val="003F4A0E"/>
    <w:rsid w:val="003F5396"/>
    <w:rsid w:val="003F5E7F"/>
    <w:rsid w:val="003F7003"/>
    <w:rsid w:val="003F71F1"/>
    <w:rsid w:val="003F787F"/>
    <w:rsid w:val="004002ED"/>
    <w:rsid w:val="00400B64"/>
    <w:rsid w:val="004014A8"/>
    <w:rsid w:val="00401584"/>
    <w:rsid w:val="004018B9"/>
    <w:rsid w:val="00401C03"/>
    <w:rsid w:val="00401D66"/>
    <w:rsid w:val="00402628"/>
    <w:rsid w:val="00402890"/>
    <w:rsid w:val="00402B41"/>
    <w:rsid w:val="0040321D"/>
    <w:rsid w:val="004033B5"/>
    <w:rsid w:val="004049ED"/>
    <w:rsid w:val="00405E93"/>
    <w:rsid w:val="00406C30"/>
    <w:rsid w:val="004072A7"/>
    <w:rsid w:val="00407527"/>
    <w:rsid w:val="004104AE"/>
    <w:rsid w:val="004105C3"/>
    <w:rsid w:val="004105E0"/>
    <w:rsid w:val="00410787"/>
    <w:rsid w:val="00410BC7"/>
    <w:rsid w:val="00410F02"/>
    <w:rsid w:val="00412C25"/>
    <w:rsid w:val="00412E7F"/>
    <w:rsid w:val="0041310A"/>
    <w:rsid w:val="00413826"/>
    <w:rsid w:val="00413BBF"/>
    <w:rsid w:val="00413E04"/>
    <w:rsid w:val="00414069"/>
    <w:rsid w:val="00414537"/>
    <w:rsid w:val="004145C0"/>
    <w:rsid w:val="00414BD0"/>
    <w:rsid w:val="00415804"/>
    <w:rsid w:val="00416E85"/>
    <w:rsid w:val="00417A4C"/>
    <w:rsid w:val="00417AB7"/>
    <w:rsid w:val="00420A1D"/>
    <w:rsid w:val="00420F4E"/>
    <w:rsid w:val="0042103A"/>
    <w:rsid w:val="00421BE0"/>
    <w:rsid w:val="00421CFE"/>
    <w:rsid w:val="00422EF7"/>
    <w:rsid w:val="00424E8D"/>
    <w:rsid w:val="004252FE"/>
    <w:rsid w:val="0042613F"/>
    <w:rsid w:val="00426521"/>
    <w:rsid w:val="00426A51"/>
    <w:rsid w:val="0043214B"/>
    <w:rsid w:val="0043225E"/>
    <w:rsid w:val="00432A6C"/>
    <w:rsid w:val="0043322B"/>
    <w:rsid w:val="00433876"/>
    <w:rsid w:val="0043387F"/>
    <w:rsid w:val="004346A5"/>
    <w:rsid w:val="00435209"/>
    <w:rsid w:val="00435B18"/>
    <w:rsid w:val="00436D2F"/>
    <w:rsid w:val="0043784B"/>
    <w:rsid w:val="00437BA6"/>
    <w:rsid w:val="00437EA3"/>
    <w:rsid w:val="00440254"/>
    <w:rsid w:val="00440C9A"/>
    <w:rsid w:val="00440D6E"/>
    <w:rsid w:val="00441001"/>
    <w:rsid w:val="00441201"/>
    <w:rsid w:val="004416F0"/>
    <w:rsid w:val="004427AD"/>
    <w:rsid w:val="00442AF2"/>
    <w:rsid w:val="00442F8A"/>
    <w:rsid w:val="00443CD8"/>
    <w:rsid w:val="004444B8"/>
    <w:rsid w:val="00444653"/>
    <w:rsid w:val="004446BF"/>
    <w:rsid w:val="0044496A"/>
    <w:rsid w:val="00446658"/>
    <w:rsid w:val="00446B2C"/>
    <w:rsid w:val="004470C2"/>
    <w:rsid w:val="004473AD"/>
    <w:rsid w:val="00450017"/>
    <w:rsid w:val="004502AF"/>
    <w:rsid w:val="004505B5"/>
    <w:rsid w:val="004519F5"/>
    <w:rsid w:val="00452346"/>
    <w:rsid w:val="00453379"/>
    <w:rsid w:val="0045451D"/>
    <w:rsid w:val="004549FD"/>
    <w:rsid w:val="004553FE"/>
    <w:rsid w:val="0045599A"/>
    <w:rsid w:val="00455FA9"/>
    <w:rsid w:val="004567D1"/>
    <w:rsid w:val="0045687B"/>
    <w:rsid w:val="00457C5B"/>
    <w:rsid w:val="00457F6B"/>
    <w:rsid w:val="00460DBB"/>
    <w:rsid w:val="0046105C"/>
    <w:rsid w:val="004620C2"/>
    <w:rsid w:val="0046299E"/>
    <w:rsid w:val="00462E0E"/>
    <w:rsid w:val="004647CC"/>
    <w:rsid w:val="00465553"/>
    <w:rsid w:val="004655C3"/>
    <w:rsid w:val="004659D3"/>
    <w:rsid w:val="00465FB7"/>
    <w:rsid w:val="00466037"/>
    <w:rsid w:val="00466D2C"/>
    <w:rsid w:val="00467524"/>
    <w:rsid w:val="00467591"/>
    <w:rsid w:val="00470A23"/>
    <w:rsid w:val="004718F9"/>
    <w:rsid w:val="00472C48"/>
    <w:rsid w:val="004742C1"/>
    <w:rsid w:val="004743D0"/>
    <w:rsid w:val="00474D28"/>
    <w:rsid w:val="00475580"/>
    <w:rsid w:val="00475668"/>
    <w:rsid w:val="00475EAB"/>
    <w:rsid w:val="00476059"/>
    <w:rsid w:val="00477F56"/>
    <w:rsid w:val="004803B2"/>
    <w:rsid w:val="00480D10"/>
    <w:rsid w:val="00481158"/>
    <w:rsid w:val="00482CD8"/>
    <w:rsid w:val="00482D7D"/>
    <w:rsid w:val="0048300B"/>
    <w:rsid w:val="00483DEE"/>
    <w:rsid w:val="004845E4"/>
    <w:rsid w:val="004848D0"/>
    <w:rsid w:val="00484FD6"/>
    <w:rsid w:val="0048537F"/>
    <w:rsid w:val="00485695"/>
    <w:rsid w:val="004860BD"/>
    <w:rsid w:val="0048685F"/>
    <w:rsid w:val="00486A84"/>
    <w:rsid w:val="00487B1D"/>
    <w:rsid w:val="00487E49"/>
    <w:rsid w:val="00490443"/>
    <w:rsid w:val="00490619"/>
    <w:rsid w:val="0049147B"/>
    <w:rsid w:val="0049147F"/>
    <w:rsid w:val="004914C5"/>
    <w:rsid w:val="00491508"/>
    <w:rsid w:val="004916B2"/>
    <w:rsid w:val="00491B10"/>
    <w:rsid w:val="00492BD0"/>
    <w:rsid w:val="00493693"/>
    <w:rsid w:val="004936C0"/>
    <w:rsid w:val="004937C8"/>
    <w:rsid w:val="00493B40"/>
    <w:rsid w:val="00493E6E"/>
    <w:rsid w:val="004943A0"/>
    <w:rsid w:val="00494668"/>
    <w:rsid w:val="00494798"/>
    <w:rsid w:val="00494BA6"/>
    <w:rsid w:val="0049511D"/>
    <w:rsid w:val="004956BD"/>
    <w:rsid w:val="00495DB6"/>
    <w:rsid w:val="00495E71"/>
    <w:rsid w:val="00495E8B"/>
    <w:rsid w:val="00496CB9"/>
    <w:rsid w:val="004A0603"/>
    <w:rsid w:val="004A2831"/>
    <w:rsid w:val="004A3996"/>
    <w:rsid w:val="004A3F50"/>
    <w:rsid w:val="004A507F"/>
    <w:rsid w:val="004A5B63"/>
    <w:rsid w:val="004A6299"/>
    <w:rsid w:val="004A6A0C"/>
    <w:rsid w:val="004A75EF"/>
    <w:rsid w:val="004A7D5B"/>
    <w:rsid w:val="004B01FE"/>
    <w:rsid w:val="004B0A2B"/>
    <w:rsid w:val="004B1425"/>
    <w:rsid w:val="004B17B7"/>
    <w:rsid w:val="004B17C5"/>
    <w:rsid w:val="004B220B"/>
    <w:rsid w:val="004B2392"/>
    <w:rsid w:val="004B2E3E"/>
    <w:rsid w:val="004B4C55"/>
    <w:rsid w:val="004B5D75"/>
    <w:rsid w:val="004B5E24"/>
    <w:rsid w:val="004B6437"/>
    <w:rsid w:val="004B6E8C"/>
    <w:rsid w:val="004C0148"/>
    <w:rsid w:val="004C0BA1"/>
    <w:rsid w:val="004C0BD9"/>
    <w:rsid w:val="004C1F92"/>
    <w:rsid w:val="004C2201"/>
    <w:rsid w:val="004C3013"/>
    <w:rsid w:val="004C374C"/>
    <w:rsid w:val="004C3B83"/>
    <w:rsid w:val="004C5F05"/>
    <w:rsid w:val="004C5F87"/>
    <w:rsid w:val="004D0129"/>
    <w:rsid w:val="004D0F46"/>
    <w:rsid w:val="004D1841"/>
    <w:rsid w:val="004D19AD"/>
    <w:rsid w:val="004D1A85"/>
    <w:rsid w:val="004D34D9"/>
    <w:rsid w:val="004D393C"/>
    <w:rsid w:val="004D3E2C"/>
    <w:rsid w:val="004D4611"/>
    <w:rsid w:val="004D49CD"/>
    <w:rsid w:val="004D558C"/>
    <w:rsid w:val="004D76C7"/>
    <w:rsid w:val="004D7F66"/>
    <w:rsid w:val="004E02EC"/>
    <w:rsid w:val="004E166E"/>
    <w:rsid w:val="004E1964"/>
    <w:rsid w:val="004E2019"/>
    <w:rsid w:val="004E267B"/>
    <w:rsid w:val="004E27F6"/>
    <w:rsid w:val="004E3327"/>
    <w:rsid w:val="004E3561"/>
    <w:rsid w:val="004E4184"/>
    <w:rsid w:val="004E4454"/>
    <w:rsid w:val="004E5301"/>
    <w:rsid w:val="004E6328"/>
    <w:rsid w:val="004E6451"/>
    <w:rsid w:val="004E6E03"/>
    <w:rsid w:val="004E72EA"/>
    <w:rsid w:val="004E755B"/>
    <w:rsid w:val="004E76BA"/>
    <w:rsid w:val="004E7C43"/>
    <w:rsid w:val="004E7CE0"/>
    <w:rsid w:val="004F0A43"/>
    <w:rsid w:val="004F1837"/>
    <w:rsid w:val="004F1C9F"/>
    <w:rsid w:val="004F209F"/>
    <w:rsid w:val="004F244D"/>
    <w:rsid w:val="004F264E"/>
    <w:rsid w:val="004F2CC1"/>
    <w:rsid w:val="004F309F"/>
    <w:rsid w:val="004F3334"/>
    <w:rsid w:val="004F4FD9"/>
    <w:rsid w:val="004F5A81"/>
    <w:rsid w:val="004F5F55"/>
    <w:rsid w:val="004F67AE"/>
    <w:rsid w:val="004F7020"/>
    <w:rsid w:val="004F7267"/>
    <w:rsid w:val="005004FA"/>
    <w:rsid w:val="005006FC"/>
    <w:rsid w:val="005008BF"/>
    <w:rsid w:val="00500FED"/>
    <w:rsid w:val="0050157E"/>
    <w:rsid w:val="0050264B"/>
    <w:rsid w:val="005049E0"/>
    <w:rsid w:val="005049F8"/>
    <w:rsid w:val="00504F2E"/>
    <w:rsid w:val="005055C7"/>
    <w:rsid w:val="00505C40"/>
    <w:rsid w:val="0050627B"/>
    <w:rsid w:val="00507533"/>
    <w:rsid w:val="0050753A"/>
    <w:rsid w:val="005079AB"/>
    <w:rsid w:val="00507AC2"/>
    <w:rsid w:val="00510574"/>
    <w:rsid w:val="00510A1C"/>
    <w:rsid w:val="00511516"/>
    <w:rsid w:val="00512423"/>
    <w:rsid w:val="00512473"/>
    <w:rsid w:val="00515AE4"/>
    <w:rsid w:val="0051625A"/>
    <w:rsid w:val="005164BF"/>
    <w:rsid w:val="00516FC6"/>
    <w:rsid w:val="00517554"/>
    <w:rsid w:val="00517D01"/>
    <w:rsid w:val="00521279"/>
    <w:rsid w:val="00521A21"/>
    <w:rsid w:val="00521CD6"/>
    <w:rsid w:val="00521FB3"/>
    <w:rsid w:val="0052226E"/>
    <w:rsid w:val="00523192"/>
    <w:rsid w:val="005242D7"/>
    <w:rsid w:val="005246BE"/>
    <w:rsid w:val="005262CF"/>
    <w:rsid w:val="005265F6"/>
    <w:rsid w:val="00526E65"/>
    <w:rsid w:val="00526F2E"/>
    <w:rsid w:val="0052740D"/>
    <w:rsid w:val="00530054"/>
    <w:rsid w:val="00530AB9"/>
    <w:rsid w:val="00530E1E"/>
    <w:rsid w:val="0053238B"/>
    <w:rsid w:val="005327F8"/>
    <w:rsid w:val="00533849"/>
    <w:rsid w:val="005347BE"/>
    <w:rsid w:val="005356C0"/>
    <w:rsid w:val="00535C22"/>
    <w:rsid w:val="005360F9"/>
    <w:rsid w:val="0053748F"/>
    <w:rsid w:val="0053771B"/>
    <w:rsid w:val="005404D3"/>
    <w:rsid w:val="0054092D"/>
    <w:rsid w:val="00540FD4"/>
    <w:rsid w:val="0054183A"/>
    <w:rsid w:val="0054291C"/>
    <w:rsid w:val="0054407B"/>
    <w:rsid w:val="005440AD"/>
    <w:rsid w:val="0054435F"/>
    <w:rsid w:val="005444A6"/>
    <w:rsid w:val="00544D3B"/>
    <w:rsid w:val="0054607F"/>
    <w:rsid w:val="005467A3"/>
    <w:rsid w:val="005479A5"/>
    <w:rsid w:val="00547B62"/>
    <w:rsid w:val="005506DB"/>
    <w:rsid w:val="00551730"/>
    <w:rsid w:val="00551F2F"/>
    <w:rsid w:val="00552247"/>
    <w:rsid w:val="005543B6"/>
    <w:rsid w:val="005543EA"/>
    <w:rsid w:val="00554460"/>
    <w:rsid w:val="005546E1"/>
    <w:rsid w:val="0055473F"/>
    <w:rsid w:val="0055484D"/>
    <w:rsid w:val="005548D4"/>
    <w:rsid w:val="00555B6C"/>
    <w:rsid w:val="00556179"/>
    <w:rsid w:val="0055661A"/>
    <w:rsid w:val="00556E8D"/>
    <w:rsid w:val="00557E57"/>
    <w:rsid w:val="00560004"/>
    <w:rsid w:val="005601AA"/>
    <w:rsid w:val="005606B3"/>
    <w:rsid w:val="005607BF"/>
    <w:rsid w:val="005607CD"/>
    <w:rsid w:val="005608BF"/>
    <w:rsid w:val="005623D4"/>
    <w:rsid w:val="00562A3C"/>
    <w:rsid w:val="00562FC2"/>
    <w:rsid w:val="00563553"/>
    <w:rsid w:val="00564215"/>
    <w:rsid w:val="00564B23"/>
    <w:rsid w:val="0056628A"/>
    <w:rsid w:val="00566566"/>
    <w:rsid w:val="005665B1"/>
    <w:rsid w:val="00566627"/>
    <w:rsid w:val="0056769A"/>
    <w:rsid w:val="00567D99"/>
    <w:rsid w:val="005708AD"/>
    <w:rsid w:val="00570F77"/>
    <w:rsid w:val="0057105B"/>
    <w:rsid w:val="005726F2"/>
    <w:rsid w:val="005731A2"/>
    <w:rsid w:val="005734C0"/>
    <w:rsid w:val="00573799"/>
    <w:rsid w:val="00573A3E"/>
    <w:rsid w:val="00573B7B"/>
    <w:rsid w:val="0057406D"/>
    <w:rsid w:val="00574084"/>
    <w:rsid w:val="00574662"/>
    <w:rsid w:val="00574943"/>
    <w:rsid w:val="00575B38"/>
    <w:rsid w:val="005760CC"/>
    <w:rsid w:val="00576530"/>
    <w:rsid w:val="00577083"/>
    <w:rsid w:val="0057710F"/>
    <w:rsid w:val="00577444"/>
    <w:rsid w:val="00577A4D"/>
    <w:rsid w:val="00577CAF"/>
    <w:rsid w:val="00581DAE"/>
    <w:rsid w:val="005843B3"/>
    <w:rsid w:val="00584AC3"/>
    <w:rsid w:val="00584C27"/>
    <w:rsid w:val="00584DEA"/>
    <w:rsid w:val="005855E9"/>
    <w:rsid w:val="00585E66"/>
    <w:rsid w:val="00585F15"/>
    <w:rsid w:val="00586167"/>
    <w:rsid w:val="00586CB8"/>
    <w:rsid w:val="00586FA9"/>
    <w:rsid w:val="00586FF9"/>
    <w:rsid w:val="0058760F"/>
    <w:rsid w:val="00590493"/>
    <w:rsid w:val="00590498"/>
    <w:rsid w:val="00590727"/>
    <w:rsid w:val="00590EC7"/>
    <w:rsid w:val="00591CFE"/>
    <w:rsid w:val="00591F2A"/>
    <w:rsid w:val="00592C7E"/>
    <w:rsid w:val="00592E9F"/>
    <w:rsid w:val="00592EF6"/>
    <w:rsid w:val="00594473"/>
    <w:rsid w:val="00595158"/>
    <w:rsid w:val="005958B6"/>
    <w:rsid w:val="0059608E"/>
    <w:rsid w:val="00596924"/>
    <w:rsid w:val="005969C4"/>
    <w:rsid w:val="00596B56"/>
    <w:rsid w:val="005A0C86"/>
    <w:rsid w:val="005A1BF0"/>
    <w:rsid w:val="005A1F5E"/>
    <w:rsid w:val="005A3A12"/>
    <w:rsid w:val="005A4009"/>
    <w:rsid w:val="005A4042"/>
    <w:rsid w:val="005A44E9"/>
    <w:rsid w:val="005A4944"/>
    <w:rsid w:val="005A4CE4"/>
    <w:rsid w:val="005A528E"/>
    <w:rsid w:val="005A585A"/>
    <w:rsid w:val="005A58CF"/>
    <w:rsid w:val="005A5961"/>
    <w:rsid w:val="005A5ACD"/>
    <w:rsid w:val="005A5E83"/>
    <w:rsid w:val="005A6389"/>
    <w:rsid w:val="005A65EB"/>
    <w:rsid w:val="005A6E27"/>
    <w:rsid w:val="005A7823"/>
    <w:rsid w:val="005A7E92"/>
    <w:rsid w:val="005B1758"/>
    <w:rsid w:val="005B18B9"/>
    <w:rsid w:val="005B1E51"/>
    <w:rsid w:val="005B2327"/>
    <w:rsid w:val="005B2636"/>
    <w:rsid w:val="005B37EF"/>
    <w:rsid w:val="005B539C"/>
    <w:rsid w:val="005B5661"/>
    <w:rsid w:val="005B5DEA"/>
    <w:rsid w:val="005B6E0B"/>
    <w:rsid w:val="005B75D9"/>
    <w:rsid w:val="005B7E6C"/>
    <w:rsid w:val="005B7ED4"/>
    <w:rsid w:val="005C06E7"/>
    <w:rsid w:val="005C0FFF"/>
    <w:rsid w:val="005C13A0"/>
    <w:rsid w:val="005C3901"/>
    <w:rsid w:val="005C47CA"/>
    <w:rsid w:val="005C4E31"/>
    <w:rsid w:val="005C4EE9"/>
    <w:rsid w:val="005C580D"/>
    <w:rsid w:val="005C5887"/>
    <w:rsid w:val="005C5E6D"/>
    <w:rsid w:val="005C6063"/>
    <w:rsid w:val="005C6138"/>
    <w:rsid w:val="005C6E66"/>
    <w:rsid w:val="005C7B3D"/>
    <w:rsid w:val="005C7E2D"/>
    <w:rsid w:val="005C7E76"/>
    <w:rsid w:val="005D100E"/>
    <w:rsid w:val="005D1B90"/>
    <w:rsid w:val="005D23B8"/>
    <w:rsid w:val="005D2475"/>
    <w:rsid w:val="005D2A44"/>
    <w:rsid w:val="005D36F0"/>
    <w:rsid w:val="005D4ADE"/>
    <w:rsid w:val="005D556B"/>
    <w:rsid w:val="005D5581"/>
    <w:rsid w:val="005D5B15"/>
    <w:rsid w:val="005D708E"/>
    <w:rsid w:val="005D7570"/>
    <w:rsid w:val="005D75C4"/>
    <w:rsid w:val="005D78A3"/>
    <w:rsid w:val="005D7F0E"/>
    <w:rsid w:val="005E0412"/>
    <w:rsid w:val="005E1BF3"/>
    <w:rsid w:val="005E24EC"/>
    <w:rsid w:val="005E26DC"/>
    <w:rsid w:val="005E2816"/>
    <w:rsid w:val="005E2ACB"/>
    <w:rsid w:val="005E3414"/>
    <w:rsid w:val="005E34FA"/>
    <w:rsid w:val="005E37B7"/>
    <w:rsid w:val="005E3CA5"/>
    <w:rsid w:val="005E3D7B"/>
    <w:rsid w:val="005E4D61"/>
    <w:rsid w:val="005E5545"/>
    <w:rsid w:val="005E558F"/>
    <w:rsid w:val="005E58BB"/>
    <w:rsid w:val="005E61DF"/>
    <w:rsid w:val="005E66A3"/>
    <w:rsid w:val="005E6CA2"/>
    <w:rsid w:val="005E6E0F"/>
    <w:rsid w:val="005E75F1"/>
    <w:rsid w:val="005F1A97"/>
    <w:rsid w:val="005F1B96"/>
    <w:rsid w:val="005F2600"/>
    <w:rsid w:val="005F380A"/>
    <w:rsid w:val="005F47EF"/>
    <w:rsid w:val="005F5046"/>
    <w:rsid w:val="005F6658"/>
    <w:rsid w:val="005F6CAD"/>
    <w:rsid w:val="005F7E07"/>
    <w:rsid w:val="005F7EEA"/>
    <w:rsid w:val="006005DB"/>
    <w:rsid w:val="00600707"/>
    <w:rsid w:val="006017A9"/>
    <w:rsid w:val="0060184E"/>
    <w:rsid w:val="00601AFF"/>
    <w:rsid w:val="00602311"/>
    <w:rsid w:val="00602316"/>
    <w:rsid w:val="00602F2F"/>
    <w:rsid w:val="006032EA"/>
    <w:rsid w:val="00603654"/>
    <w:rsid w:val="0060441A"/>
    <w:rsid w:val="00604757"/>
    <w:rsid w:val="006047E0"/>
    <w:rsid w:val="00604AA2"/>
    <w:rsid w:val="00604B30"/>
    <w:rsid w:val="00605035"/>
    <w:rsid w:val="00605ACF"/>
    <w:rsid w:val="006072FB"/>
    <w:rsid w:val="006079F4"/>
    <w:rsid w:val="00607B4A"/>
    <w:rsid w:val="00607E9F"/>
    <w:rsid w:val="00610298"/>
    <w:rsid w:val="00610352"/>
    <w:rsid w:val="00610480"/>
    <w:rsid w:val="006108FD"/>
    <w:rsid w:val="00610F98"/>
    <w:rsid w:val="00612637"/>
    <w:rsid w:val="0061308E"/>
    <w:rsid w:val="00613616"/>
    <w:rsid w:val="006138B1"/>
    <w:rsid w:val="00614E08"/>
    <w:rsid w:val="00615724"/>
    <w:rsid w:val="00617BFE"/>
    <w:rsid w:val="00621BF8"/>
    <w:rsid w:val="00622543"/>
    <w:rsid w:val="00622837"/>
    <w:rsid w:val="00622C75"/>
    <w:rsid w:val="00623435"/>
    <w:rsid w:val="00623EA1"/>
    <w:rsid w:val="0062404D"/>
    <w:rsid w:val="006240E5"/>
    <w:rsid w:val="00624434"/>
    <w:rsid w:val="006245EF"/>
    <w:rsid w:val="00624973"/>
    <w:rsid w:val="00624DA1"/>
    <w:rsid w:val="006251EF"/>
    <w:rsid w:val="006266DE"/>
    <w:rsid w:val="00626C9E"/>
    <w:rsid w:val="00627BF4"/>
    <w:rsid w:val="00627D63"/>
    <w:rsid w:val="00627D96"/>
    <w:rsid w:val="006308CE"/>
    <w:rsid w:val="00631C9E"/>
    <w:rsid w:val="00631E24"/>
    <w:rsid w:val="00632B05"/>
    <w:rsid w:val="00633200"/>
    <w:rsid w:val="00633FEE"/>
    <w:rsid w:val="00634444"/>
    <w:rsid w:val="00634DFB"/>
    <w:rsid w:val="00634FAE"/>
    <w:rsid w:val="006358A2"/>
    <w:rsid w:val="006358C5"/>
    <w:rsid w:val="00635A48"/>
    <w:rsid w:val="00635AA9"/>
    <w:rsid w:val="006366FA"/>
    <w:rsid w:val="00636BC8"/>
    <w:rsid w:val="00636E20"/>
    <w:rsid w:val="006402C9"/>
    <w:rsid w:val="00640FFD"/>
    <w:rsid w:val="00641B91"/>
    <w:rsid w:val="00641F19"/>
    <w:rsid w:val="00642CD1"/>
    <w:rsid w:val="006431B0"/>
    <w:rsid w:val="00643E8C"/>
    <w:rsid w:val="00643F01"/>
    <w:rsid w:val="00645070"/>
    <w:rsid w:val="00645B54"/>
    <w:rsid w:val="00645F28"/>
    <w:rsid w:val="00646FAA"/>
    <w:rsid w:val="0064727C"/>
    <w:rsid w:val="006502E1"/>
    <w:rsid w:val="00650695"/>
    <w:rsid w:val="00652310"/>
    <w:rsid w:val="006526B9"/>
    <w:rsid w:val="00652897"/>
    <w:rsid w:val="00653C97"/>
    <w:rsid w:val="00653E46"/>
    <w:rsid w:val="006559E9"/>
    <w:rsid w:val="006573D0"/>
    <w:rsid w:val="006577D1"/>
    <w:rsid w:val="006619CD"/>
    <w:rsid w:val="00662249"/>
    <w:rsid w:val="00662D17"/>
    <w:rsid w:val="00663373"/>
    <w:rsid w:val="00663683"/>
    <w:rsid w:val="00663945"/>
    <w:rsid w:val="00663B0F"/>
    <w:rsid w:val="00663B64"/>
    <w:rsid w:val="00663C84"/>
    <w:rsid w:val="00664031"/>
    <w:rsid w:val="00664943"/>
    <w:rsid w:val="00664A90"/>
    <w:rsid w:val="00664BB9"/>
    <w:rsid w:val="006650F6"/>
    <w:rsid w:val="00665D5E"/>
    <w:rsid w:val="00666A4F"/>
    <w:rsid w:val="0066771E"/>
    <w:rsid w:val="00671993"/>
    <w:rsid w:val="00673651"/>
    <w:rsid w:val="00673B17"/>
    <w:rsid w:val="00673D13"/>
    <w:rsid w:val="00674064"/>
    <w:rsid w:val="00674163"/>
    <w:rsid w:val="0067466A"/>
    <w:rsid w:val="00674C1B"/>
    <w:rsid w:val="00674E7D"/>
    <w:rsid w:val="00675240"/>
    <w:rsid w:val="00676F78"/>
    <w:rsid w:val="00677B68"/>
    <w:rsid w:val="006810B9"/>
    <w:rsid w:val="0068204C"/>
    <w:rsid w:val="0068238D"/>
    <w:rsid w:val="00682523"/>
    <w:rsid w:val="00682FDE"/>
    <w:rsid w:val="006832CB"/>
    <w:rsid w:val="00683D15"/>
    <w:rsid w:val="006840FA"/>
    <w:rsid w:val="00684CC6"/>
    <w:rsid w:val="00685624"/>
    <w:rsid w:val="006861A6"/>
    <w:rsid w:val="006863BC"/>
    <w:rsid w:val="00686CA8"/>
    <w:rsid w:val="00686E38"/>
    <w:rsid w:val="00687792"/>
    <w:rsid w:val="00690980"/>
    <w:rsid w:val="00691737"/>
    <w:rsid w:val="00691EED"/>
    <w:rsid w:val="006922A3"/>
    <w:rsid w:val="006923D9"/>
    <w:rsid w:val="006925B2"/>
    <w:rsid w:val="00692E22"/>
    <w:rsid w:val="006939AF"/>
    <w:rsid w:val="0069428A"/>
    <w:rsid w:val="00694A90"/>
    <w:rsid w:val="00694AA1"/>
    <w:rsid w:val="00695026"/>
    <w:rsid w:val="00695318"/>
    <w:rsid w:val="00696500"/>
    <w:rsid w:val="006966D9"/>
    <w:rsid w:val="00696BAD"/>
    <w:rsid w:val="006A0616"/>
    <w:rsid w:val="006A1AE3"/>
    <w:rsid w:val="006A1BC4"/>
    <w:rsid w:val="006A2B99"/>
    <w:rsid w:val="006A2EA7"/>
    <w:rsid w:val="006A2FDD"/>
    <w:rsid w:val="006A350D"/>
    <w:rsid w:val="006A4115"/>
    <w:rsid w:val="006A452E"/>
    <w:rsid w:val="006A6562"/>
    <w:rsid w:val="006A66ED"/>
    <w:rsid w:val="006A694D"/>
    <w:rsid w:val="006A79CC"/>
    <w:rsid w:val="006A7ED6"/>
    <w:rsid w:val="006B01E0"/>
    <w:rsid w:val="006B0607"/>
    <w:rsid w:val="006B0A6D"/>
    <w:rsid w:val="006B0C2D"/>
    <w:rsid w:val="006B14EF"/>
    <w:rsid w:val="006B1704"/>
    <w:rsid w:val="006B1B56"/>
    <w:rsid w:val="006B3AF4"/>
    <w:rsid w:val="006B4C5C"/>
    <w:rsid w:val="006B5FBE"/>
    <w:rsid w:val="006B6614"/>
    <w:rsid w:val="006B6ADE"/>
    <w:rsid w:val="006B731A"/>
    <w:rsid w:val="006B7751"/>
    <w:rsid w:val="006C06C7"/>
    <w:rsid w:val="006C08BB"/>
    <w:rsid w:val="006C0B0F"/>
    <w:rsid w:val="006C1844"/>
    <w:rsid w:val="006C1DBC"/>
    <w:rsid w:val="006C2192"/>
    <w:rsid w:val="006C295B"/>
    <w:rsid w:val="006C29B2"/>
    <w:rsid w:val="006C2CC0"/>
    <w:rsid w:val="006C2CC7"/>
    <w:rsid w:val="006C3265"/>
    <w:rsid w:val="006C33BA"/>
    <w:rsid w:val="006C35A7"/>
    <w:rsid w:val="006C3E34"/>
    <w:rsid w:val="006C40B2"/>
    <w:rsid w:val="006C4488"/>
    <w:rsid w:val="006C4DDD"/>
    <w:rsid w:val="006C507F"/>
    <w:rsid w:val="006C567B"/>
    <w:rsid w:val="006C5747"/>
    <w:rsid w:val="006C576E"/>
    <w:rsid w:val="006C5986"/>
    <w:rsid w:val="006C59F4"/>
    <w:rsid w:val="006C5E42"/>
    <w:rsid w:val="006C5FD2"/>
    <w:rsid w:val="006C6288"/>
    <w:rsid w:val="006C644C"/>
    <w:rsid w:val="006C756E"/>
    <w:rsid w:val="006C79A5"/>
    <w:rsid w:val="006C7DB8"/>
    <w:rsid w:val="006C7DFF"/>
    <w:rsid w:val="006D0155"/>
    <w:rsid w:val="006D036F"/>
    <w:rsid w:val="006D04B3"/>
    <w:rsid w:val="006D0863"/>
    <w:rsid w:val="006D0982"/>
    <w:rsid w:val="006D0DEF"/>
    <w:rsid w:val="006D19D3"/>
    <w:rsid w:val="006D2C47"/>
    <w:rsid w:val="006D4342"/>
    <w:rsid w:val="006D4939"/>
    <w:rsid w:val="006D49C8"/>
    <w:rsid w:val="006D4BE5"/>
    <w:rsid w:val="006D50CC"/>
    <w:rsid w:val="006D5243"/>
    <w:rsid w:val="006D5705"/>
    <w:rsid w:val="006D5FFE"/>
    <w:rsid w:val="006D760F"/>
    <w:rsid w:val="006D783A"/>
    <w:rsid w:val="006E069F"/>
    <w:rsid w:val="006E1599"/>
    <w:rsid w:val="006E196A"/>
    <w:rsid w:val="006E1F59"/>
    <w:rsid w:val="006E2833"/>
    <w:rsid w:val="006E349B"/>
    <w:rsid w:val="006E39C7"/>
    <w:rsid w:val="006E4313"/>
    <w:rsid w:val="006E463F"/>
    <w:rsid w:val="006E4CB7"/>
    <w:rsid w:val="006E54E0"/>
    <w:rsid w:val="006E5CBC"/>
    <w:rsid w:val="006E663C"/>
    <w:rsid w:val="006E68EC"/>
    <w:rsid w:val="006E6A81"/>
    <w:rsid w:val="006E7C6A"/>
    <w:rsid w:val="006E7F88"/>
    <w:rsid w:val="006F0F49"/>
    <w:rsid w:val="006F1877"/>
    <w:rsid w:val="006F1A41"/>
    <w:rsid w:val="006F20A2"/>
    <w:rsid w:val="006F24ED"/>
    <w:rsid w:val="006F29CC"/>
    <w:rsid w:val="006F2ABD"/>
    <w:rsid w:val="006F2CE3"/>
    <w:rsid w:val="006F4212"/>
    <w:rsid w:val="006F5C44"/>
    <w:rsid w:val="006F6D0C"/>
    <w:rsid w:val="006F6F85"/>
    <w:rsid w:val="006F7F07"/>
    <w:rsid w:val="00700225"/>
    <w:rsid w:val="00700AC7"/>
    <w:rsid w:val="00700DEE"/>
    <w:rsid w:val="00700E2A"/>
    <w:rsid w:val="00700EC5"/>
    <w:rsid w:val="00700FFE"/>
    <w:rsid w:val="007010DB"/>
    <w:rsid w:val="00701322"/>
    <w:rsid w:val="007016AE"/>
    <w:rsid w:val="00701B6A"/>
    <w:rsid w:val="007022CA"/>
    <w:rsid w:val="00703635"/>
    <w:rsid w:val="0070398D"/>
    <w:rsid w:val="0070447F"/>
    <w:rsid w:val="00705251"/>
    <w:rsid w:val="007058AE"/>
    <w:rsid w:val="00705D11"/>
    <w:rsid w:val="007079A2"/>
    <w:rsid w:val="007079BF"/>
    <w:rsid w:val="00710BFF"/>
    <w:rsid w:val="00710CE6"/>
    <w:rsid w:val="0071190C"/>
    <w:rsid w:val="00711DEC"/>
    <w:rsid w:val="00712DDA"/>
    <w:rsid w:val="00712EFC"/>
    <w:rsid w:val="007132FE"/>
    <w:rsid w:val="0071355C"/>
    <w:rsid w:val="00713D13"/>
    <w:rsid w:val="007142CE"/>
    <w:rsid w:val="00714949"/>
    <w:rsid w:val="00714A47"/>
    <w:rsid w:val="007150C1"/>
    <w:rsid w:val="00715F12"/>
    <w:rsid w:val="0071654D"/>
    <w:rsid w:val="007165A4"/>
    <w:rsid w:val="007170AE"/>
    <w:rsid w:val="007173F9"/>
    <w:rsid w:val="00717A89"/>
    <w:rsid w:val="00720293"/>
    <w:rsid w:val="00720AAD"/>
    <w:rsid w:val="00721C77"/>
    <w:rsid w:val="00722805"/>
    <w:rsid w:val="007229B5"/>
    <w:rsid w:val="00722EF6"/>
    <w:rsid w:val="007231AD"/>
    <w:rsid w:val="007241FF"/>
    <w:rsid w:val="007246E2"/>
    <w:rsid w:val="00725D60"/>
    <w:rsid w:val="00726D38"/>
    <w:rsid w:val="00726D74"/>
    <w:rsid w:val="00727135"/>
    <w:rsid w:val="007271BA"/>
    <w:rsid w:val="00727797"/>
    <w:rsid w:val="00727E63"/>
    <w:rsid w:val="007306E4"/>
    <w:rsid w:val="007309C8"/>
    <w:rsid w:val="00730B7C"/>
    <w:rsid w:val="00730E95"/>
    <w:rsid w:val="0073145C"/>
    <w:rsid w:val="00732975"/>
    <w:rsid w:val="007329D4"/>
    <w:rsid w:val="007336EF"/>
    <w:rsid w:val="00733AF3"/>
    <w:rsid w:val="00733BCC"/>
    <w:rsid w:val="00733C86"/>
    <w:rsid w:val="00733F79"/>
    <w:rsid w:val="007340B4"/>
    <w:rsid w:val="00734A5A"/>
    <w:rsid w:val="00734D5E"/>
    <w:rsid w:val="00735336"/>
    <w:rsid w:val="00735F55"/>
    <w:rsid w:val="00737200"/>
    <w:rsid w:val="0073796D"/>
    <w:rsid w:val="0074001F"/>
    <w:rsid w:val="00740568"/>
    <w:rsid w:val="0074132E"/>
    <w:rsid w:val="00742AA2"/>
    <w:rsid w:val="00742F91"/>
    <w:rsid w:val="00743049"/>
    <w:rsid w:val="00744335"/>
    <w:rsid w:val="00744BBA"/>
    <w:rsid w:val="00744E40"/>
    <w:rsid w:val="007450A9"/>
    <w:rsid w:val="007454A5"/>
    <w:rsid w:val="00745C4A"/>
    <w:rsid w:val="007469F5"/>
    <w:rsid w:val="00746B52"/>
    <w:rsid w:val="00746D07"/>
    <w:rsid w:val="00750A1B"/>
    <w:rsid w:val="0075101E"/>
    <w:rsid w:val="00752667"/>
    <w:rsid w:val="00753159"/>
    <w:rsid w:val="00754215"/>
    <w:rsid w:val="00754984"/>
    <w:rsid w:val="00755413"/>
    <w:rsid w:val="00755B3D"/>
    <w:rsid w:val="00755D0A"/>
    <w:rsid w:val="00755E3E"/>
    <w:rsid w:val="007562A2"/>
    <w:rsid w:val="00756A7C"/>
    <w:rsid w:val="00756D69"/>
    <w:rsid w:val="007576FD"/>
    <w:rsid w:val="007579A8"/>
    <w:rsid w:val="00757E72"/>
    <w:rsid w:val="007608B9"/>
    <w:rsid w:val="00760FCD"/>
    <w:rsid w:val="0076116F"/>
    <w:rsid w:val="00761EC6"/>
    <w:rsid w:val="007621EC"/>
    <w:rsid w:val="00762EEE"/>
    <w:rsid w:val="00762FF1"/>
    <w:rsid w:val="0076401E"/>
    <w:rsid w:val="00764838"/>
    <w:rsid w:val="0076708D"/>
    <w:rsid w:val="007672A6"/>
    <w:rsid w:val="00767935"/>
    <w:rsid w:val="00767A38"/>
    <w:rsid w:val="00767BE1"/>
    <w:rsid w:val="00770359"/>
    <w:rsid w:val="0077064C"/>
    <w:rsid w:val="00770ED1"/>
    <w:rsid w:val="00771475"/>
    <w:rsid w:val="007717FE"/>
    <w:rsid w:val="00771CB7"/>
    <w:rsid w:val="007723B8"/>
    <w:rsid w:val="0077262A"/>
    <w:rsid w:val="00772E33"/>
    <w:rsid w:val="007738B8"/>
    <w:rsid w:val="00773D8E"/>
    <w:rsid w:val="00773DF9"/>
    <w:rsid w:val="00774ECF"/>
    <w:rsid w:val="00775294"/>
    <w:rsid w:val="0077571C"/>
    <w:rsid w:val="00775BE6"/>
    <w:rsid w:val="00777D37"/>
    <w:rsid w:val="00777F04"/>
    <w:rsid w:val="007809CA"/>
    <w:rsid w:val="00780E01"/>
    <w:rsid w:val="007815BA"/>
    <w:rsid w:val="00781AF6"/>
    <w:rsid w:val="00782744"/>
    <w:rsid w:val="007828D1"/>
    <w:rsid w:val="007829DB"/>
    <w:rsid w:val="00782E20"/>
    <w:rsid w:val="007835EB"/>
    <w:rsid w:val="007849EA"/>
    <w:rsid w:val="00785CC4"/>
    <w:rsid w:val="0078657A"/>
    <w:rsid w:val="007865CE"/>
    <w:rsid w:val="0078666D"/>
    <w:rsid w:val="00790568"/>
    <w:rsid w:val="0079123D"/>
    <w:rsid w:val="0079264C"/>
    <w:rsid w:val="00792DD9"/>
    <w:rsid w:val="00792E7E"/>
    <w:rsid w:val="0079359C"/>
    <w:rsid w:val="00793F9B"/>
    <w:rsid w:val="0079494A"/>
    <w:rsid w:val="00794B6D"/>
    <w:rsid w:val="00794CE3"/>
    <w:rsid w:val="0079637D"/>
    <w:rsid w:val="00796549"/>
    <w:rsid w:val="0079760D"/>
    <w:rsid w:val="007A1880"/>
    <w:rsid w:val="007A1AE2"/>
    <w:rsid w:val="007A24C6"/>
    <w:rsid w:val="007A2FC6"/>
    <w:rsid w:val="007A31AE"/>
    <w:rsid w:val="007A36A6"/>
    <w:rsid w:val="007A393F"/>
    <w:rsid w:val="007A3BB2"/>
    <w:rsid w:val="007A3D0F"/>
    <w:rsid w:val="007A4D32"/>
    <w:rsid w:val="007A5A1E"/>
    <w:rsid w:val="007A5F6B"/>
    <w:rsid w:val="007A6707"/>
    <w:rsid w:val="007B08A3"/>
    <w:rsid w:val="007B49A4"/>
    <w:rsid w:val="007B626E"/>
    <w:rsid w:val="007B67D9"/>
    <w:rsid w:val="007B68A4"/>
    <w:rsid w:val="007B740E"/>
    <w:rsid w:val="007B74B0"/>
    <w:rsid w:val="007C08E9"/>
    <w:rsid w:val="007C1093"/>
    <w:rsid w:val="007C25FE"/>
    <w:rsid w:val="007C2ACB"/>
    <w:rsid w:val="007C2AFA"/>
    <w:rsid w:val="007C3047"/>
    <w:rsid w:val="007C352D"/>
    <w:rsid w:val="007C3D12"/>
    <w:rsid w:val="007C4F0C"/>
    <w:rsid w:val="007C59A7"/>
    <w:rsid w:val="007C5BF2"/>
    <w:rsid w:val="007C5E6A"/>
    <w:rsid w:val="007C600A"/>
    <w:rsid w:val="007C619A"/>
    <w:rsid w:val="007C669D"/>
    <w:rsid w:val="007C68CB"/>
    <w:rsid w:val="007C7064"/>
    <w:rsid w:val="007C7711"/>
    <w:rsid w:val="007C7731"/>
    <w:rsid w:val="007C78CD"/>
    <w:rsid w:val="007D0DDD"/>
    <w:rsid w:val="007D1AF5"/>
    <w:rsid w:val="007D2945"/>
    <w:rsid w:val="007D2E18"/>
    <w:rsid w:val="007D2FFA"/>
    <w:rsid w:val="007D3261"/>
    <w:rsid w:val="007D3654"/>
    <w:rsid w:val="007D40A7"/>
    <w:rsid w:val="007D4BC4"/>
    <w:rsid w:val="007D4ED4"/>
    <w:rsid w:val="007D5255"/>
    <w:rsid w:val="007D5B32"/>
    <w:rsid w:val="007D5C8E"/>
    <w:rsid w:val="007D64B9"/>
    <w:rsid w:val="007D6A3C"/>
    <w:rsid w:val="007D732C"/>
    <w:rsid w:val="007E01E7"/>
    <w:rsid w:val="007E03D6"/>
    <w:rsid w:val="007E08D7"/>
    <w:rsid w:val="007E132B"/>
    <w:rsid w:val="007E1E5F"/>
    <w:rsid w:val="007E214B"/>
    <w:rsid w:val="007E2502"/>
    <w:rsid w:val="007E2A5C"/>
    <w:rsid w:val="007E3010"/>
    <w:rsid w:val="007E557B"/>
    <w:rsid w:val="007E663F"/>
    <w:rsid w:val="007E665C"/>
    <w:rsid w:val="007E7077"/>
    <w:rsid w:val="007E7316"/>
    <w:rsid w:val="007E7397"/>
    <w:rsid w:val="007F0221"/>
    <w:rsid w:val="007F04B5"/>
    <w:rsid w:val="007F04D5"/>
    <w:rsid w:val="007F0DCE"/>
    <w:rsid w:val="007F1041"/>
    <w:rsid w:val="007F17FF"/>
    <w:rsid w:val="007F1DF0"/>
    <w:rsid w:val="007F260E"/>
    <w:rsid w:val="007F2909"/>
    <w:rsid w:val="007F2AC3"/>
    <w:rsid w:val="007F33AA"/>
    <w:rsid w:val="007F38C6"/>
    <w:rsid w:val="007F43B8"/>
    <w:rsid w:val="007F4779"/>
    <w:rsid w:val="007F5141"/>
    <w:rsid w:val="007F6466"/>
    <w:rsid w:val="007F6F29"/>
    <w:rsid w:val="007F7479"/>
    <w:rsid w:val="007F7CF4"/>
    <w:rsid w:val="008004E3"/>
    <w:rsid w:val="008014A5"/>
    <w:rsid w:val="008015E5"/>
    <w:rsid w:val="00801F38"/>
    <w:rsid w:val="008026D2"/>
    <w:rsid w:val="008028A5"/>
    <w:rsid w:val="00802B27"/>
    <w:rsid w:val="008058BF"/>
    <w:rsid w:val="00805F80"/>
    <w:rsid w:val="00806021"/>
    <w:rsid w:val="008061BE"/>
    <w:rsid w:val="008065B6"/>
    <w:rsid w:val="008065C0"/>
    <w:rsid w:val="0080725F"/>
    <w:rsid w:val="0080745B"/>
    <w:rsid w:val="008079FB"/>
    <w:rsid w:val="00807A25"/>
    <w:rsid w:val="00810C4D"/>
    <w:rsid w:val="00810E74"/>
    <w:rsid w:val="00810F55"/>
    <w:rsid w:val="00811B6B"/>
    <w:rsid w:val="00811FCC"/>
    <w:rsid w:val="00812587"/>
    <w:rsid w:val="008127D6"/>
    <w:rsid w:val="008127DC"/>
    <w:rsid w:val="00812D12"/>
    <w:rsid w:val="00814DCA"/>
    <w:rsid w:val="00814F12"/>
    <w:rsid w:val="0081535F"/>
    <w:rsid w:val="00815D83"/>
    <w:rsid w:val="00816EA9"/>
    <w:rsid w:val="00817440"/>
    <w:rsid w:val="008176FA"/>
    <w:rsid w:val="00817FD5"/>
    <w:rsid w:val="00820109"/>
    <w:rsid w:val="0082092C"/>
    <w:rsid w:val="00820C42"/>
    <w:rsid w:val="00820F27"/>
    <w:rsid w:val="00821D76"/>
    <w:rsid w:val="00822103"/>
    <w:rsid w:val="008225B2"/>
    <w:rsid w:val="00822EC9"/>
    <w:rsid w:val="008235E6"/>
    <w:rsid w:val="00823B9E"/>
    <w:rsid w:val="00824685"/>
    <w:rsid w:val="00825B24"/>
    <w:rsid w:val="00826B42"/>
    <w:rsid w:val="00827192"/>
    <w:rsid w:val="008316ED"/>
    <w:rsid w:val="00831BF5"/>
    <w:rsid w:val="00831E9D"/>
    <w:rsid w:val="00832EFB"/>
    <w:rsid w:val="008331DD"/>
    <w:rsid w:val="00833757"/>
    <w:rsid w:val="0083431A"/>
    <w:rsid w:val="0083489E"/>
    <w:rsid w:val="00834D54"/>
    <w:rsid w:val="00835118"/>
    <w:rsid w:val="008364F8"/>
    <w:rsid w:val="00836662"/>
    <w:rsid w:val="00836E49"/>
    <w:rsid w:val="00836ED9"/>
    <w:rsid w:val="00837126"/>
    <w:rsid w:val="0083773C"/>
    <w:rsid w:val="0083798D"/>
    <w:rsid w:val="0084021A"/>
    <w:rsid w:val="00840AF9"/>
    <w:rsid w:val="00840B33"/>
    <w:rsid w:val="0084355A"/>
    <w:rsid w:val="0084381A"/>
    <w:rsid w:val="00843CD9"/>
    <w:rsid w:val="0084408A"/>
    <w:rsid w:val="00844AF0"/>
    <w:rsid w:val="00844E56"/>
    <w:rsid w:val="0084544F"/>
    <w:rsid w:val="00846535"/>
    <w:rsid w:val="008467B9"/>
    <w:rsid w:val="00846D6C"/>
    <w:rsid w:val="00846D99"/>
    <w:rsid w:val="008477EC"/>
    <w:rsid w:val="008478CC"/>
    <w:rsid w:val="008501FE"/>
    <w:rsid w:val="0085032C"/>
    <w:rsid w:val="00850998"/>
    <w:rsid w:val="00850FB7"/>
    <w:rsid w:val="00851B78"/>
    <w:rsid w:val="00852E48"/>
    <w:rsid w:val="00853427"/>
    <w:rsid w:val="00853B51"/>
    <w:rsid w:val="00854BB3"/>
    <w:rsid w:val="008555FE"/>
    <w:rsid w:val="0085597D"/>
    <w:rsid w:val="00855C41"/>
    <w:rsid w:val="008563E3"/>
    <w:rsid w:val="008569E0"/>
    <w:rsid w:val="00857147"/>
    <w:rsid w:val="008572C9"/>
    <w:rsid w:val="0085755B"/>
    <w:rsid w:val="00857737"/>
    <w:rsid w:val="00860BF3"/>
    <w:rsid w:val="00862320"/>
    <w:rsid w:val="00862502"/>
    <w:rsid w:val="008636D6"/>
    <w:rsid w:val="00863A4C"/>
    <w:rsid w:val="00863E18"/>
    <w:rsid w:val="008641FE"/>
    <w:rsid w:val="00864614"/>
    <w:rsid w:val="00864844"/>
    <w:rsid w:val="008649B0"/>
    <w:rsid w:val="00864FC6"/>
    <w:rsid w:val="00866F5F"/>
    <w:rsid w:val="00866FAC"/>
    <w:rsid w:val="008673C7"/>
    <w:rsid w:val="008675A2"/>
    <w:rsid w:val="00867DA5"/>
    <w:rsid w:val="00870578"/>
    <w:rsid w:val="008714E4"/>
    <w:rsid w:val="00871B06"/>
    <w:rsid w:val="00871C93"/>
    <w:rsid w:val="0087204F"/>
    <w:rsid w:val="0087269D"/>
    <w:rsid w:val="00872AE9"/>
    <w:rsid w:val="00872B11"/>
    <w:rsid w:val="0087386F"/>
    <w:rsid w:val="00873A51"/>
    <w:rsid w:val="00873F0B"/>
    <w:rsid w:val="00875A01"/>
    <w:rsid w:val="00876167"/>
    <w:rsid w:val="008761A9"/>
    <w:rsid w:val="00876E66"/>
    <w:rsid w:val="00881B81"/>
    <w:rsid w:val="0088235F"/>
    <w:rsid w:val="00882788"/>
    <w:rsid w:val="008849B3"/>
    <w:rsid w:val="00885042"/>
    <w:rsid w:val="008858BC"/>
    <w:rsid w:val="00885D72"/>
    <w:rsid w:val="008864B0"/>
    <w:rsid w:val="00887630"/>
    <w:rsid w:val="00887CD9"/>
    <w:rsid w:val="00890014"/>
    <w:rsid w:val="008904C5"/>
    <w:rsid w:val="008909C9"/>
    <w:rsid w:val="008913E7"/>
    <w:rsid w:val="00891535"/>
    <w:rsid w:val="00891B18"/>
    <w:rsid w:val="00891B61"/>
    <w:rsid w:val="00891D22"/>
    <w:rsid w:val="00894F96"/>
    <w:rsid w:val="008960C2"/>
    <w:rsid w:val="0089648F"/>
    <w:rsid w:val="00896E59"/>
    <w:rsid w:val="00897D10"/>
    <w:rsid w:val="008A0D34"/>
    <w:rsid w:val="008A0E45"/>
    <w:rsid w:val="008A1826"/>
    <w:rsid w:val="008A19FF"/>
    <w:rsid w:val="008A2B5A"/>
    <w:rsid w:val="008A2E9E"/>
    <w:rsid w:val="008A35B9"/>
    <w:rsid w:val="008A3825"/>
    <w:rsid w:val="008A3AF1"/>
    <w:rsid w:val="008A3E55"/>
    <w:rsid w:val="008A4429"/>
    <w:rsid w:val="008A442D"/>
    <w:rsid w:val="008A45E5"/>
    <w:rsid w:val="008A6882"/>
    <w:rsid w:val="008A725C"/>
    <w:rsid w:val="008A7AB5"/>
    <w:rsid w:val="008B03D9"/>
    <w:rsid w:val="008B0AD7"/>
    <w:rsid w:val="008B0F65"/>
    <w:rsid w:val="008B175E"/>
    <w:rsid w:val="008B1CA8"/>
    <w:rsid w:val="008B1F49"/>
    <w:rsid w:val="008B2136"/>
    <w:rsid w:val="008B22C0"/>
    <w:rsid w:val="008B30CC"/>
    <w:rsid w:val="008B33F0"/>
    <w:rsid w:val="008B3ADB"/>
    <w:rsid w:val="008B4414"/>
    <w:rsid w:val="008B4A7F"/>
    <w:rsid w:val="008B4F5D"/>
    <w:rsid w:val="008B51B6"/>
    <w:rsid w:val="008B5F7E"/>
    <w:rsid w:val="008B61E0"/>
    <w:rsid w:val="008B62D8"/>
    <w:rsid w:val="008B6ADF"/>
    <w:rsid w:val="008B6B47"/>
    <w:rsid w:val="008B7287"/>
    <w:rsid w:val="008C0725"/>
    <w:rsid w:val="008C0C44"/>
    <w:rsid w:val="008C0E9B"/>
    <w:rsid w:val="008C1C67"/>
    <w:rsid w:val="008C2401"/>
    <w:rsid w:val="008C2D3C"/>
    <w:rsid w:val="008C3DCE"/>
    <w:rsid w:val="008C41F8"/>
    <w:rsid w:val="008C4289"/>
    <w:rsid w:val="008C6061"/>
    <w:rsid w:val="008C6289"/>
    <w:rsid w:val="008C68CF"/>
    <w:rsid w:val="008C699E"/>
    <w:rsid w:val="008C789F"/>
    <w:rsid w:val="008C7C2E"/>
    <w:rsid w:val="008D060F"/>
    <w:rsid w:val="008D071E"/>
    <w:rsid w:val="008D0E70"/>
    <w:rsid w:val="008D0EA3"/>
    <w:rsid w:val="008D0FCA"/>
    <w:rsid w:val="008D125D"/>
    <w:rsid w:val="008D1DD0"/>
    <w:rsid w:val="008D2248"/>
    <w:rsid w:val="008D2963"/>
    <w:rsid w:val="008D2A1C"/>
    <w:rsid w:val="008D2C52"/>
    <w:rsid w:val="008D3171"/>
    <w:rsid w:val="008D3C38"/>
    <w:rsid w:val="008D3D32"/>
    <w:rsid w:val="008D3F4C"/>
    <w:rsid w:val="008D4237"/>
    <w:rsid w:val="008D44AE"/>
    <w:rsid w:val="008D4621"/>
    <w:rsid w:val="008D4683"/>
    <w:rsid w:val="008D490B"/>
    <w:rsid w:val="008D4AC1"/>
    <w:rsid w:val="008D4C99"/>
    <w:rsid w:val="008D4DCD"/>
    <w:rsid w:val="008D521C"/>
    <w:rsid w:val="008D57BF"/>
    <w:rsid w:val="008D5DE0"/>
    <w:rsid w:val="008D62D4"/>
    <w:rsid w:val="008D672E"/>
    <w:rsid w:val="008D6E64"/>
    <w:rsid w:val="008D7923"/>
    <w:rsid w:val="008E1469"/>
    <w:rsid w:val="008E19AD"/>
    <w:rsid w:val="008E1B97"/>
    <w:rsid w:val="008E2C1E"/>
    <w:rsid w:val="008E2FA2"/>
    <w:rsid w:val="008E3744"/>
    <w:rsid w:val="008E3D96"/>
    <w:rsid w:val="008E3EA4"/>
    <w:rsid w:val="008E473B"/>
    <w:rsid w:val="008E4899"/>
    <w:rsid w:val="008E5120"/>
    <w:rsid w:val="008E638E"/>
    <w:rsid w:val="008E64A9"/>
    <w:rsid w:val="008E68B7"/>
    <w:rsid w:val="008E78AB"/>
    <w:rsid w:val="008F0670"/>
    <w:rsid w:val="008F0C98"/>
    <w:rsid w:val="008F103D"/>
    <w:rsid w:val="008F172A"/>
    <w:rsid w:val="008F1B07"/>
    <w:rsid w:val="008F1E3C"/>
    <w:rsid w:val="008F2E1C"/>
    <w:rsid w:val="008F309A"/>
    <w:rsid w:val="008F3A5F"/>
    <w:rsid w:val="008F3DD8"/>
    <w:rsid w:val="008F4B1A"/>
    <w:rsid w:val="008F4CE5"/>
    <w:rsid w:val="008F4F5E"/>
    <w:rsid w:val="008F5B04"/>
    <w:rsid w:val="008F61DD"/>
    <w:rsid w:val="008F635A"/>
    <w:rsid w:val="008F6734"/>
    <w:rsid w:val="0090066C"/>
    <w:rsid w:val="00900A61"/>
    <w:rsid w:val="00900E5F"/>
    <w:rsid w:val="00901416"/>
    <w:rsid w:val="00901B6D"/>
    <w:rsid w:val="00903231"/>
    <w:rsid w:val="0090348A"/>
    <w:rsid w:val="0090354F"/>
    <w:rsid w:val="00903702"/>
    <w:rsid w:val="00903D5B"/>
    <w:rsid w:val="00903F58"/>
    <w:rsid w:val="0090402B"/>
    <w:rsid w:val="00904057"/>
    <w:rsid w:val="009043DA"/>
    <w:rsid w:val="009045A7"/>
    <w:rsid w:val="009053E5"/>
    <w:rsid w:val="00905C6A"/>
    <w:rsid w:val="00907185"/>
    <w:rsid w:val="00910DD6"/>
    <w:rsid w:val="00910FAE"/>
    <w:rsid w:val="009113F0"/>
    <w:rsid w:val="00912770"/>
    <w:rsid w:val="009129A6"/>
    <w:rsid w:val="0091309A"/>
    <w:rsid w:val="0091364A"/>
    <w:rsid w:val="00913EC0"/>
    <w:rsid w:val="009144C0"/>
    <w:rsid w:val="00914AD1"/>
    <w:rsid w:val="009153D9"/>
    <w:rsid w:val="009155BA"/>
    <w:rsid w:val="009204BC"/>
    <w:rsid w:val="00920BBE"/>
    <w:rsid w:val="009218F9"/>
    <w:rsid w:val="00922411"/>
    <w:rsid w:val="00922ACB"/>
    <w:rsid w:val="00924318"/>
    <w:rsid w:val="00926BCB"/>
    <w:rsid w:val="00926DB1"/>
    <w:rsid w:val="0092766D"/>
    <w:rsid w:val="0093009D"/>
    <w:rsid w:val="00930171"/>
    <w:rsid w:val="00930653"/>
    <w:rsid w:val="009307D5"/>
    <w:rsid w:val="009308CD"/>
    <w:rsid w:val="009313FB"/>
    <w:rsid w:val="00931498"/>
    <w:rsid w:val="00931E28"/>
    <w:rsid w:val="00932CC2"/>
    <w:rsid w:val="0093372B"/>
    <w:rsid w:val="00933C67"/>
    <w:rsid w:val="00933E9F"/>
    <w:rsid w:val="00934F18"/>
    <w:rsid w:val="00935910"/>
    <w:rsid w:val="00935A2B"/>
    <w:rsid w:val="009363FB"/>
    <w:rsid w:val="009378EB"/>
    <w:rsid w:val="00937D65"/>
    <w:rsid w:val="009406FF"/>
    <w:rsid w:val="00940801"/>
    <w:rsid w:val="00940A63"/>
    <w:rsid w:val="00940D8C"/>
    <w:rsid w:val="00940FF5"/>
    <w:rsid w:val="00941E47"/>
    <w:rsid w:val="00941FE5"/>
    <w:rsid w:val="00942730"/>
    <w:rsid w:val="0094426A"/>
    <w:rsid w:val="009448E7"/>
    <w:rsid w:val="0094545A"/>
    <w:rsid w:val="00945743"/>
    <w:rsid w:val="00945A05"/>
    <w:rsid w:val="00945AAC"/>
    <w:rsid w:val="00945F16"/>
    <w:rsid w:val="009465F8"/>
    <w:rsid w:val="00946C6C"/>
    <w:rsid w:val="009478CF"/>
    <w:rsid w:val="00947910"/>
    <w:rsid w:val="00950A79"/>
    <w:rsid w:val="009512FA"/>
    <w:rsid w:val="00951434"/>
    <w:rsid w:val="00951FA7"/>
    <w:rsid w:val="009520D7"/>
    <w:rsid w:val="009520DD"/>
    <w:rsid w:val="0095210E"/>
    <w:rsid w:val="00952115"/>
    <w:rsid w:val="00952F45"/>
    <w:rsid w:val="0095349C"/>
    <w:rsid w:val="00953506"/>
    <w:rsid w:val="0095368B"/>
    <w:rsid w:val="00954D1C"/>
    <w:rsid w:val="00954EF7"/>
    <w:rsid w:val="00955522"/>
    <w:rsid w:val="00955BCE"/>
    <w:rsid w:val="0095616F"/>
    <w:rsid w:val="009568BE"/>
    <w:rsid w:val="00956E46"/>
    <w:rsid w:val="00956ED2"/>
    <w:rsid w:val="00960FC9"/>
    <w:rsid w:val="009616E1"/>
    <w:rsid w:val="00962085"/>
    <w:rsid w:val="00962164"/>
    <w:rsid w:val="00962393"/>
    <w:rsid w:val="00962A4C"/>
    <w:rsid w:val="009634F5"/>
    <w:rsid w:val="009635AD"/>
    <w:rsid w:val="00963732"/>
    <w:rsid w:val="00964391"/>
    <w:rsid w:val="00964E07"/>
    <w:rsid w:val="00965A7B"/>
    <w:rsid w:val="00965B8E"/>
    <w:rsid w:val="00965FCF"/>
    <w:rsid w:val="00966686"/>
    <w:rsid w:val="0096691B"/>
    <w:rsid w:val="009673FA"/>
    <w:rsid w:val="00967467"/>
    <w:rsid w:val="00971F39"/>
    <w:rsid w:val="00972266"/>
    <w:rsid w:val="0097250B"/>
    <w:rsid w:val="00973A5E"/>
    <w:rsid w:val="00973C54"/>
    <w:rsid w:val="00973D48"/>
    <w:rsid w:val="00973E73"/>
    <w:rsid w:val="009744AA"/>
    <w:rsid w:val="00974B94"/>
    <w:rsid w:val="0097616B"/>
    <w:rsid w:val="00976D6A"/>
    <w:rsid w:val="00980F44"/>
    <w:rsid w:val="009819CD"/>
    <w:rsid w:val="0098276A"/>
    <w:rsid w:val="00983088"/>
    <w:rsid w:val="00984AC0"/>
    <w:rsid w:val="009853C5"/>
    <w:rsid w:val="0098576D"/>
    <w:rsid w:val="009859E6"/>
    <w:rsid w:val="00985CCB"/>
    <w:rsid w:val="00985D02"/>
    <w:rsid w:val="00985E43"/>
    <w:rsid w:val="00986290"/>
    <w:rsid w:val="009862F5"/>
    <w:rsid w:val="0098633F"/>
    <w:rsid w:val="0098661B"/>
    <w:rsid w:val="009868EF"/>
    <w:rsid w:val="009874D5"/>
    <w:rsid w:val="009901F4"/>
    <w:rsid w:val="00990BEB"/>
    <w:rsid w:val="009910C9"/>
    <w:rsid w:val="009922EC"/>
    <w:rsid w:val="00994266"/>
    <w:rsid w:val="00994516"/>
    <w:rsid w:val="00995EF0"/>
    <w:rsid w:val="00996A17"/>
    <w:rsid w:val="00996B75"/>
    <w:rsid w:val="00997168"/>
    <w:rsid w:val="0099785F"/>
    <w:rsid w:val="009978C9"/>
    <w:rsid w:val="00997A79"/>
    <w:rsid w:val="009A133F"/>
    <w:rsid w:val="009A20A2"/>
    <w:rsid w:val="009A293D"/>
    <w:rsid w:val="009A2E3B"/>
    <w:rsid w:val="009A2E72"/>
    <w:rsid w:val="009A2EC7"/>
    <w:rsid w:val="009A2FC4"/>
    <w:rsid w:val="009A3166"/>
    <w:rsid w:val="009A3176"/>
    <w:rsid w:val="009A3FA7"/>
    <w:rsid w:val="009A5293"/>
    <w:rsid w:val="009A5D66"/>
    <w:rsid w:val="009A6C79"/>
    <w:rsid w:val="009A7003"/>
    <w:rsid w:val="009A7A0E"/>
    <w:rsid w:val="009A7A28"/>
    <w:rsid w:val="009A7C95"/>
    <w:rsid w:val="009B0DAA"/>
    <w:rsid w:val="009B121E"/>
    <w:rsid w:val="009B1B36"/>
    <w:rsid w:val="009B2A1E"/>
    <w:rsid w:val="009B33AB"/>
    <w:rsid w:val="009B3802"/>
    <w:rsid w:val="009B5071"/>
    <w:rsid w:val="009B5787"/>
    <w:rsid w:val="009B5A17"/>
    <w:rsid w:val="009B6238"/>
    <w:rsid w:val="009B6764"/>
    <w:rsid w:val="009B694A"/>
    <w:rsid w:val="009B7A64"/>
    <w:rsid w:val="009B7CF5"/>
    <w:rsid w:val="009C18A1"/>
    <w:rsid w:val="009C18E5"/>
    <w:rsid w:val="009C1917"/>
    <w:rsid w:val="009C1EF9"/>
    <w:rsid w:val="009C1F9D"/>
    <w:rsid w:val="009C2474"/>
    <w:rsid w:val="009C36F1"/>
    <w:rsid w:val="009C39AD"/>
    <w:rsid w:val="009C3A4D"/>
    <w:rsid w:val="009C4206"/>
    <w:rsid w:val="009C4A3B"/>
    <w:rsid w:val="009C4BD4"/>
    <w:rsid w:val="009C4CDA"/>
    <w:rsid w:val="009C4FDB"/>
    <w:rsid w:val="009C51FC"/>
    <w:rsid w:val="009C5282"/>
    <w:rsid w:val="009C531D"/>
    <w:rsid w:val="009C6145"/>
    <w:rsid w:val="009C6AC9"/>
    <w:rsid w:val="009C6D26"/>
    <w:rsid w:val="009C7493"/>
    <w:rsid w:val="009C75DD"/>
    <w:rsid w:val="009C7C9B"/>
    <w:rsid w:val="009C7CC6"/>
    <w:rsid w:val="009D0831"/>
    <w:rsid w:val="009D1196"/>
    <w:rsid w:val="009D1BBD"/>
    <w:rsid w:val="009D1E60"/>
    <w:rsid w:val="009D234C"/>
    <w:rsid w:val="009D40DE"/>
    <w:rsid w:val="009D4DE4"/>
    <w:rsid w:val="009D5330"/>
    <w:rsid w:val="009D5B95"/>
    <w:rsid w:val="009D5DB7"/>
    <w:rsid w:val="009D6143"/>
    <w:rsid w:val="009D63D2"/>
    <w:rsid w:val="009D6484"/>
    <w:rsid w:val="009D709F"/>
    <w:rsid w:val="009E0375"/>
    <w:rsid w:val="009E133D"/>
    <w:rsid w:val="009E155D"/>
    <w:rsid w:val="009E1794"/>
    <w:rsid w:val="009E1B84"/>
    <w:rsid w:val="009E275E"/>
    <w:rsid w:val="009E27BB"/>
    <w:rsid w:val="009E28A8"/>
    <w:rsid w:val="009E3629"/>
    <w:rsid w:val="009E44F2"/>
    <w:rsid w:val="009E4AA6"/>
    <w:rsid w:val="009E4BD7"/>
    <w:rsid w:val="009E5060"/>
    <w:rsid w:val="009E6195"/>
    <w:rsid w:val="009E636F"/>
    <w:rsid w:val="009E6B2F"/>
    <w:rsid w:val="009F0A7D"/>
    <w:rsid w:val="009F0ADD"/>
    <w:rsid w:val="009F149A"/>
    <w:rsid w:val="009F2220"/>
    <w:rsid w:val="009F2424"/>
    <w:rsid w:val="009F2EB4"/>
    <w:rsid w:val="009F3338"/>
    <w:rsid w:val="009F39FD"/>
    <w:rsid w:val="009F4267"/>
    <w:rsid w:val="009F45F9"/>
    <w:rsid w:val="009F47B8"/>
    <w:rsid w:val="009F504B"/>
    <w:rsid w:val="009F5603"/>
    <w:rsid w:val="009F58D1"/>
    <w:rsid w:val="009F6AD2"/>
    <w:rsid w:val="009F6F51"/>
    <w:rsid w:val="009F7F3C"/>
    <w:rsid w:val="009F7FB4"/>
    <w:rsid w:val="00A0048F"/>
    <w:rsid w:val="00A00778"/>
    <w:rsid w:val="00A00BBB"/>
    <w:rsid w:val="00A00EE7"/>
    <w:rsid w:val="00A010F7"/>
    <w:rsid w:val="00A01DE5"/>
    <w:rsid w:val="00A02995"/>
    <w:rsid w:val="00A02DC1"/>
    <w:rsid w:val="00A03560"/>
    <w:rsid w:val="00A036B2"/>
    <w:rsid w:val="00A04841"/>
    <w:rsid w:val="00A0486B"/>
    <w:rsid w:val="00A050A8"/>
    <w:rsid w:val="00A054FD"/>
    <w:rsid w:val="00A0564F"/>
    <w:rsid w:val="00A05C2B"/>
    <w:rsid w:val="00A05D3D"/>
    <w:rsid w:val="00A05F91"/>
    <w:rsid w:val="00A06B6B"/>
    <w:rsid w:val="00A0747A"/>
    <w:rsid w:val="00A07FFE"/>
    <w:rsid w:val="00A1008C"/>
    <w:rsid w:val="00A1139D"/>
    <w:rsid w:val="00A119CE"/>
    <w:rsid w:val="00A12087"/>
    <w:rsid w:val="00A1217C"/>
    <w:rsid w:val="00A123A1"/>
    <w:rsid w:val="00A1263A"/>
    <w:rsid w:val="00A12A9A"/>
    <w:rsid w:val="00A12B51"/>
    <w:rsid w:val="00A12EDD"/>
    <w:rsid w:val="00A1309C"/>
    <w:rsid w:val="00A13CE3"/>
    <w:rsid w:val="00A13D73"/>
    <w:rsid w:val="00A13DB0"/>
    <w:rsid w:val="00A13FAB"/>
    <w:rsid w:val="00A14049"/>
    <w:rsid w:val="00A14D12"/>
    <w:rsid w:val="00A15414"/>
    <w:rsid w:val="00A15B40"/>
    <w:rsid w:val="00A169CA"/>
    <w:rsid w:val="00A1783F"/>
    <w:rsid w:val="00A20126"/>
    <w:rsid w:val="00A204C0"/>
    <w:rsid w:val="00A209BC"/>
    <w:rsid w:val="00A2183F"/>
    <w:rsid w:val="00A21999"/>
    <w:rsid w:val="00A21AC7"/>
    <w:rsid w:val="00A22124"/>
    <w:rsid w:val="00A222F6"/>
    <w:rsid w:val="00A22DBD"/>
    <w:rsid w:val="00A232BD"/>
    <w:rsid w:val="00A23DCB"/>
    <w:rsid w:val="00A244A8"/>
    <w:rsid w:val="00A248DE"/>
    <w:rsid w:val="00A24F4B"/>
    <w:rsid w:val="00A2521C"/>
    <w:rsid w:val="00A25536"/>
    <w:rsid w:val="00A25998"/>
    <w:rsid w:val="00A25D8F"/>
    <w:rsid w:val="00A266F3"/>
    <w:rsid w:val="00A26B1C"/>
    <w:rsid w:val="00A270CB"/>
    <w:rsid w:val="00A270EA"/>
    <w:rsid w:val="00A27D30"/>
    <w:rsid w:val="00A307D2"/>
    <w:rsid w:val="00A3157A"/>
    <w:rsid w:val="00A317CA"/>
    <w:rsid w:val="00A31A2D"/>
    <w:rsid w:val="00A31E1F"/>
    <w:rsid w:val="00A347BE"/>
    <w:rsid w:val="00A351D0"/>
    <w:rsid w:val="00A35457"/>
    <w:rsid w:val="00A35B8C"/>
    <w:rsid w:val="00A36549"/>
    <w:rsid w:val="00A376A3"/>
    <w:rsid w:val="00A378BA"/>
    <w:rsid w:val="00A40108"/>
    <w:rsid w:val="00A40126"/>
    <w:rsid w:val="00A40760"/>
    <w:rsid w:val="00A40C25"/>
    <w:rsid w:val="00A40FD9"/>
    <w:rsid w:val="00A40FF7"/>
    <w:rsid w:val="00A42167"/>
    <w:rsid w:val="00A422C3"/>
    <w:rsid w:val="00A423BA"/>
    <w:rsid w:val="00A42B99"/>
    <w:rsid w:val="00A435BF"/>
    <w:rsid w:val="00A43CF3"/>
    <w:rsid w:val="00A440A9"/>
    <w:rsid w:val="00A4438A"/>
    <w:rsid w:val="00A449D4"/>
    <w:rsid w:val="00A458A6"/>
    <w:rsid w:val="00A46F9E"/>
    <w:rsid w:val="00A50F04"/>
    <w:rsid w:val="00A50FEE"/>
    <w:rsid w:val="00A51028"/>
    <w:rsid w:val="00A5109A"/>
    <w:rsid w:val="00A513AC"/>
    <w:rsid w:val="00A51635"/>
    <w:rsid w:val="00A52422"/>
    <w:rsid w:val="00A5308E"/>
    <w:rsid w:val="00A53FD7"/>
    <w:rsid w:val="00A54178"/>
    <w:rsid w:val="00A541F7"/>
    <w:rsid w:val="00A54AB2"/>
    <w:rsid w:val="00A54CFE"/>
    <w:rsid w:val="00A56478"/>
    <w:rsid w:val="00A5650E"/>
    <w:rsid w:val="00A56805"/>
    <w:rsid w:val="00A600DC"/>
    <w:rsid w:val="00A60B83"/>
    <w:rsid w:val="00A60DA6"/>
    <w:rsid w:val="00A61349"/>
    <w:rsid w:val="00A6386F"/>
    <w:rsid w:val="00A64D0D"/>
    <w:rsid w:val="00A6535B"/>
    <w:rsid w:val="00A65BF1"/>
    <w:rsid w:val="00A664FE"/>
    <w:rsid w:val="00A66F51"/>
    <w:rsid w:val="00A67DBA"/>
    <w:rsid w:val="00A705EF"/>
    <w:rsid w:val="00A70B6D"/>
    <w:rsid w:val="00A7167F"/>
    <w:rsid w:val="00A7178C"/>
    <w:rsid w:val="00A718D8"/>
    <w:rsid w:val="00A71C98"/>
    <w:rsid w:val="00A71E8B"/>
    <w:rsid w:val="00A72337"/>
    <w:rsid w:val="00A738C7"/>
    <w:rsid w:val="00A74126"/>
    <w:rsid w:val="00A742F8"/>
    <w:rsid w:val="00A74D3A"/>
    <w:rsid w:val="00A7557D"/>
    <w:rsid w:val="00A75FBD"/>
    <w:rsid w:val="00A76FF7"/>
    <w:rsid w:val="00A771A4"/>
    <w:rsid w:val="00A773E5"/>
    <w:rsid w:val="00A778D1"/>
    <w:rsid w:val="00A77F2C"/>
    <w:rsid w:val="00A77FD4"/>
    <w:rsid w:val="00A80E49"/>
    <w:rsid w:val="00A80E67"/>
    <w:rsid w:val="00A81FB3"/>
    <w:rsid w:val="00A82224"/>
    <w:rsid w:val="00A824C9"/>
    <w:rsid w:val="00A82C0D"/>
    <w:rsid w:val="00A82E13"/>
    <w:rsid w:val="00A83983"/>
    <w:rsid w:val="00A83A13"/>
    <w:rsid w:val="00A83C12"/>
    <w:rsid w:val="00A83D11"/>
    <w:rsid w:val="00A850DA"/>
    <w:rsid w:val="00A8534F"/>
    <w:rsid w:val="00A856B2"/>
    <w:rsid w:val="00A85E64"/>
    <w:rsid w:val="00A86298"/>
    <w:rsid w:val="00A86511"/>
    <w:rsid w:val="00A86564"/>
    <w:rsid w:val="00A86B9F"/>
    <w:rsid w:val="00A8723F"/>
    <w:rsid w:val="00A87687"/>
    <w:rsid w:val="00A90616"/>
    <w:rsid w:val="00A90938"/>
    <w:rsid w:val="00A90E8F"/>
    <w:rsid w:val="00A9106E"/>
    <w:rsid w:val="00A917F2"/>
    <w:rsid w:val="00A91EB9"/>
    <w:rsid w:val="00A91FCB"/>
    <w:rsid w:val="00A9273D"/>
    <w:rsid w:val="00A9278F"/>
    <w:rsid w:val="00A929B9"/>
    <w:rsid w:val="00A93BD5"/>
    <w:rsid w:val="00A93F81"/>
    <w:rsid w:val="00A95694"/>
    <w:rsid w:val="00A96798"/>
    <w:rsid w:val="00A96915"/>
    <w:rsid w:val="00A96939"/>
    <w:rsid w:val="00A96CC9"/>
    <w:rsid w:val="00A97FD0"/>
    <w:rsid w:val="00AA0089"/>
    <w:rsid w:val="00AA05AA"/>
    <w:rsid w:val="00AA098A"/>
    <w:rsid w:val="00AA1837"/>
    <w:rsid w:val="00AA1E98"/>
    <w:rsid w:val="00AA26C9"/>
    <w:rsid w:val="00AA2C83"/>
    <w:rsid w:val="00AA4DD1"/>
    <w:rsid w:val="00AA4EC7"/>
    <w:rsid w:val="00AA5B49"/>
    <w:rsid w:val="00AA6ACF"/>
    <w:rsid w:val="00AA7FDE"/>
    <w:rsid w:val="00AB07A4"/>
    <w:rsid w:val="00AB0922"/>
    <w:rsid w:val="00AB1528"/>
    <w:rsid w:val="00AB1AB2"/>
    <w:rsid w:val="00AB1B01"/>
    <w:rsid w:val="00AB1D92"/>
    <w:rsid w:val="00AB2518"/>
    <w:rsid w:val="00AB26F3"/>
    <w:rsid w:val="00AB49D7"/>
    <w:rsid w:val="00AB50DA"/>
    <w:rsid w:val="00AB5540"/>
    <w:rsid w:val="00AB5855"/>
    <w:rsid w:val="00AB5F77"/>
    <w:rsid w:val="00AB6DC7"/>
    <w:rsid w:val="00AB6E5E"/>
    <w:rsid w:val="00AB724D"/>
    <w:rsid w:val="00AB7461"/>
    <w:rsid w:val="00AC0092"/>
    <w:rsid w:val="00AC09EB"/>
    <w:rsid w:val="00AC1039"/>
    <w:rsid w:val="00AC1642"/>
    <w:rsid w:val="00AC2A58"/>
    <w:rsid w:val="00AC37F6"/>
    <w:rsid w:val="00AC3930"/>
    <w:rsid w:val="00AC4EA1"/>
    <w:rsid w:val="00AC4F3A"/>
    <w:rsid w:val="00AC5D4E"/>
    <w:rsid w:val="00AC5FCB"/>
    <w:rsid w:val="00AC6FF9"/>
    <w:rsid w:val="00AD01AF"/>
    <w:rsid w:val="00AD0457"/>
    <w:rsid w:val="00AD082F"/>
    <w:rsid w:val="00AD087D"/>
    <w:rsid w:val="00AD0C5B"/>
    <w:rsid w:val="00AD0CC7"/>
    <w:rsid w:val="00AD17CA"/>
    <w:rsid w:val="00AD1C26"/>
    <w:rsid w:val="00AD25FD"/>
    <w:rsid w:val="00AD264F"/>
    <w:rsid w:val="00AD2757"/>
    <w:rsid w:val="00AD2D4C"/>
    <w:rsid w:val="00AD31FB"/>
    <w:rsid w:val="00AD3236"/>
    <w:rsid w:val="00AD34EE"/>
    <w:rsid w:val="00AD3635"/>
    <w:rsid w:val="00AD6868"/>
    <w:rsid w:val="00AD70CD"/>
    <w:rsid w:val="00AD799C"/>
    <w:rsid w:val="00AD7C5C"/>
    <w:rsid w:val="00AE0085"/>
    <w:rsid w:val="00AE01C0"/>
    <w:rsid w:val="00AE041D"/>
    <w:rsid w:val="00AE0B5F"/>
    <w:rsid w:val="00AE10E9"/>
    <w:rsid w:val="00AE1AD0"/>
    <w:rsid w:val="00AE1CDC"/>
    <w:rsid w:val="00AE2276"/>
    <w:rsid w:val="00AE2450"/>
    <w:rsid w:val="00AE3D2D"/>
    <w:rsid w:val="00AE3E1B"/>
    <w:rsid w:val="00AE5848"/>
    <w:rsid w:val="00AE5FD5"/>
    <w:rsid w:val="00AE636A"/>
    <w:rsid w:val="00AE6519"/>
    <w:rsid w:val="00AE6703"/>
    <w:rsid w:val="00AE6F48"/>
    <w:rsid w:val="00AE7763"/>
    <w:rsid w:val="00AE7931"/>
    <w:rsid w:val="00AE7B31"/>
    <w:rsid w:val="00AF053D"/>
    <w:rsid w:val="00AF0709"/>
    <w:rsid w:val="00AF08E6"/>
    <w:rsid w:val="00AF2285"/>
    <w:rsid w:val="00AF240F"/>
    <w:rsid w:val="00AF243C"/>
    <w:rsid w:val="00AF364F"/>
    <w:rsid w:val="00AF3786"/>
    <w:rsid w:val="00AF3870"/>
    <w:rsid w:val="00AF4925"/>
    <w:rsid w:val="00AF54F6"/>
    <w:rsid w:val="00AF59AE"/>
    <w:rsid w:val="00AF5B2E"/>
    <w:rsid w:val="00AF66E5"/>
    <w:rsid w:val="00AF7040"/>
    <w:rsid w:val="00AF76E9"/>
    <w:rsid w:val="00B002D9"/>
    <w:rsid w:val="00B0086B"/>
    <w:rsid w:val="00B00B13"/>
    <w:rsid w:val="00B01517"/>
    <w:rsid w:val="00B017E2"/>
    <w:rsid w:val="00B02296"/>
    <w:rsid w:val="00B03181"/>
    <w:rsid w:val="00B03315"/>
    <w:rsid w:val="00B03921"/>
    <w:rsid w:val="00B043FE"/>
    <w:rsid w:val="00B05060"/>
    <w:rsid w:val="00B06B69"/>
    <w:rsid w:val="00B07F99"/>
    <w:rsid w:val="00B11D1E"/>
    <w:rsid w:val="00B12588"/>
    <w:rsid w:val="00B129A8"/>
    <w:rsid w:val="00B1418C"/>
    <w:rsid w:val="00B158DE"/>
    <w:rsid w:val="00B159C7"/>
    <w:rsid w:val="00B15A60"/>
    <w:rsid w:val="00B15B79"/>
    <w:rsid w:val="00B1744E"/>
    <w:rsid w:val="00B17DB2"/>
    <w:rsid w:val="00B20270"/>
    <w:rsid w:val="00B20525"/>
    <w:rsid w:val="00B20F1F"/>
    <w:rsid w:val="00B21844"/>
    <w:rsid w:val="00B21B1D"/>
    <w:rsid w:val="00B223B2"/>
    <w:rsid w:val="00B225AB"/>
    <w:rsid w:val="00B22620"/>
    <w:rsid w:val="00B238F3"/>
    <w:rsid w:val="00B23D60"/>
    <w:rsid w:val="00B248F1"/>
    <w:rsid w:val="00B24BA5"/>
    <w:rsid w:val="00B24BC8"/>
    <w:rsid w:val="00B24D50"/>
    <w:rsid w:val="00B24E65"/>
    <w:rsid w:val="00B24ED3"/>
    <w:rsid w:val="00B25CB8"/>
    <w:rsid w:val="00B25DFA"/>
    <w:rsid w:val="00B25FF5"/>
    <w:rsid w:val="00B2630D"/>
    <w:rsid w:val="00B263F3"/>
    <w:rsid w:val="00B26432"/>
    <w:rsid w:val="00B2696A"/>
    <w:rsid w:val="00B26E3E"/>
    <w:rsid w:val="00B270D0"/>
    <w:rsid w:val="00B27D05"/>
    <w:rsid w:val="00B30555"/>
    <w:rsid w:val="00B31695"/>
    <w:rsid w:val="00B31C72"/>
    <w:rsid w:val="00B338F6"/>
    <w:rsid w:val="00B33C7F"/>
    <w:rsid w:val="00B34672"/>
    <w:rsid w:val="00B35FE4"/>
    <w:rsid w:val="00B37132"/>
    <w:rsid w:val="00B37B21"/>
    <w:rsid w:val="00B37B29"/>
    <w:rsid w:val="00B41173"/>
    <w:rsid w:val="00B41D2C"/>
    <w:rsid w:val="00B41FD5"/>
    <w:rsid w:val="00B4213D"/>
    <w:rsid w:val="00B4338D"/>
    <w:rsid w:val="00B4377C"/>
    <w:rsid w:val="00B43D1B"/>
    <w:rsid w:val="00B43FAA"/>
    <w:rsid w:val="00B44C3A"/>
    <w:rsid w:val="00B450FF"/>
    <w:rsid w:val="00B46B2F"/>
    <w:rsid w:val="00B4714D"/>
    <w:rsid w:val="00B47598"/>
    <w:rsid w:val="00B47D03"/>
    <w:rsid w:val="00B50E46"/>
    <w:rsid w:val="00B51467"/>
    <w:rsid w:val="00B5148D"/>
    <w:rsid w:val="00B514BA"/>
    <w:rsid w:val="00B5165A"/>
    <w:rsid w:val="00B518DE"/>
    <w:rsid w:val="00B52925"/>
    <w:rsid w:val="00B5293D"/>
    <w:rsid w:val="00B52AF7"/>
    <w:rsid w:val="00B532D3"/>
    <w:rsid w:val="00B53815"/>
    <w:rsid w:val="00B540B5"/>
    <w:rsid w:val="00B544C9"/>
    <w:rsid w:val="00B54E4F"/>
    <w:rsid w:val="00B55643"/>
    <w:rsid w:val="00B55A56"/>
    <w:rsid w:val="00B55C3F"/>
    <w:rsid w:val="00B55FE7"/>
    <w:rsid w:val="00B56227"/>
    <w:rsid w:val="00B56881"/>
    <w:rsid w:val="00B570B8"/>
    <w:rsid w:val="00B61C32"/>
    <w:rsid w:val="00B61D45"/>
    <w:rsid w:val="00B61EEB"/>
    <w:rsid w:val="00B62889"/>
    <w:rsid w:val="00B629D8"/>
    <w:rsid w:val="00B62DA4"/>
    <w:rsid w:val="00B62DD6"/>
    <w:rsid w:val="00B62F6C"/>
    <w:rsid w:val="00B63C09"/>
    <w:rsid w:val="00B65DDB"/>
    <w:rsid w:val="00B701AC"/>
    <w:rsid w:val="00B703BC"/>
    <w:rsid w:val="00B72CB0"/>
    <w:rsid w:val="00B74689"/>
    <w:rsid w:val="00B747F7"/>
    <w:rsid w:val="00B757DF"/>
    <w:rsid w:val="00B76016"/>
    <w:rsid w:val="00B76C24"/>
    <w:rsid w:val="00B76E89"/>
    <w:rsid w:val="00B77291"/>
    <w:rsid w:val="00B77838"/>
    <w:rsid w:val="00B80179"/>
    <w:rsid w:val="00B81C24"/>
    <w:rsid w:val="00B82832"/>
    <w:rsid w:val="00B84637"/>
    <w:rsid w:val="00B84A34"/>
    <w:rsid w:val="00B85682"/>
    <w:rsid w:val="00B866F1"/>
    <w:rsid w:val="00B86B34"/>
    <w:rsid w:val="00B86D11"/>
    <w:rsid w:val="00B876BE"/>
    <w:rsid w:val="00B91FB8"/>
    <w:rsid w:val="00B9237A"/>
    <w:rsid w:val="00B930C0"/>
    <w:rsid w:val="00B93199"/>
    <w:rsid w:val="00B940D8"/>
    <w:rsid w:val="00B95D73"/>
    <w:rsid w:val="00B95F35"/>
    <w:rsid w:val="00B963B3"/>
    <w:rsid w:val="00B963F5"/>
    <w:rsid w:val="00B96BB1"/>
    <w:rsid w:val="00B96C34"/>
    <w:rsid w:val="00B97C93"/>
    <w:rsid w:val="00BA06B6"/>
    <w:rsid w:val="00BA0BD6"/>
    <w:rsid w:val="00BA212A"/>
    <w:rsid w:val="00BA2384"/>
    <w:rsid w:val="00BA3A2F"/>
    <w:rsid w:val="00BA3FEC"/>
    <w:rsid w:val="00BA59C7"/>
    <w:rsid w:val="00BA6181"/>
    <w:rsid w:val="00BA63F9"/>
    <w:rsid w:val="00BA641D"/>
    <w:rsid w:val="00BA6ADE"/>
    <w:rsid w:val="00BB0E41"/>
    <w:rsid w:val="00BB0E9B"/>
    <w:rsid w:val="00BB15D9"/>
    <w:rsid w:val="00BB22E4"/>
    <w:rsid w:val="00BB3AFA"/>
    <w:rsid w:val="00BB4F55"/>
    <w:rsid w:val="00BB56EC"/>
    <w:rsid w:val="00BB5D90"/>
    <w:rsid w:val="00BB6435"/>
    <w:rsid w:val="00BB6E43"/>
    <w:rsid w:val="00BB70D7"/>
    <w:rsid w:val="00BC215B"/>
    <w:rsid w:val="00BC22FA"/>
    <w:rsid w:val="00BC24AE"/>
    <w:rsid w:val="00BC370F"/>
    <w:rsid w:val="00BC3A51"/>
    <w:rsid w:val="00BD04D6"/>
    <w:rsid w:val="00BD0633"/>
    <w:rsid w:val="00BD0DA4"/>
    <w:rsid w:val="00BD1070"/>
    <w:rsid w:val="00BD1AA1"/>
    <w:rsid w:val="00BD223B"/>
    <w:rsid w:val="00BD2E2B"/>
    <w:rsid w:val="00BD33A4"/>
    <w:rsid w:val="00BD3A52"/>
    <w:rsid w:val="00BD3B7A"/>
    <w:rsid w:val="00BD3E0D"/>
    <w:rsid w:val="00BD43A8"/>
    <w:rsid w:val="00BD4864"/>
    <w:rsid w:val="00BD4A0E"/>
    <w:rsid w:val="00BD4B66"/>
    <w:rsid w:val="00BD5941"/>
    <w:rsid w:val="00BD6992"/>
    <w:rsid w:val="00BD767B"/>
    <w:rsid w:val="00BE0B8C"/>
    <w:rsid w:val="00BE17FE"/>
    <w:rsid w:val="00BE1AB3"/>
    <w:rsid w:val="00BE3D65"/>
    <w:rsid w:val="00BE44E3"/>
    <w:rsid w:val="00BE58C1"/>
    <w:rsid w:val="00BE70B6"/>
    <w:rsid w:val="00BE7CCF"/>
    <w:rsid w:val="00BF001A"/>
    <w:rsid w:val="00BF1532"/>
    <w:rsid w:val="00BF2882"/>
    <w:rsid w:val="00BF31DE"/>
    <w:rsid w:val="00BF32C1"/>
    <w:rsid w:val="00BF4177"/>
    <w:rsid w:val="00BF4C2B"/>
    <w:rsid w:val="00BF56CB"/>
    <w:rsid w:val="00BF5C8E"/>
    <w:rsid w:val="00BF6AE4"/>
    <w:rsid w:val="00BF723D"/>
    <w:rsid w:val="00BF7437"/>
    <w:rsid w:val="00C00E71"/>
    <w:rsid w:val="00C01EC1"/>
    <w:rsid w:val="00C025E7"/>
    <w:rsid w:val="00C02A70"/>
    <w:rsid w:val="00C03104"/>
    <w:rsid w:val="00C04805"/>
    <w:rsid w:val="00C057D1"/>
    <w:rsid w:val="00C0680C"/>
    <w:rsid w:val="00C06F8C"/>
    <w:rsid w:val="00C07458"/>
    <w:rsid w:val="00C0788C"/>
    <w:rsid w:val="00C0797D"/>
    <w:rsid w:val="00C12A1F"/>
    <w:rsid w:val="00C12A28"/>
    <w:rsid w:val="00C12F90"/>
    <w:rsid w:val="00C14005"/>
    <w:rsid w:val="00C1404F"/>
    <w:rsid w:val="00C14C0B"/>
    <w:rsid w:val="00C15C13"/>
    <w:rsid w:val="00C15CC2"/>
    <w:rsid w:val="00C15E8E"/>
    <w:rsid w:val="00C16360"/>
    <w:rsid w:val="00C163E9"/>
    <w:rsid w:val="00C168B7"/>
    <w:rsid w:val="00C1718F"/>
    <w:rsid w:val="00C17431"/>
    <w:rsid w:val="00C17E8C"/>
    <w:rsid w:val="00C202B6"/>
    <w:rsid w:val="00C20321"/>
    <w:rsid w:val="00C20A95"/>
    <w:rsid w:val="00C21236"/>
    <w:rsid w:val="00C21DAE"/>
    <w:rsid w:val="00C2461D"/>
    <w:rsid w:val="00C25116"/>
    <w:rsid w:val="00C25EA5"/>
    <w:rsid w:val="00C26BCC"/>
    <w:rsid w:val="00C278EE"/>
    <w:rsid w:val="00C27C35"/>
    <w:rsid w:val="00C30DF9"/>
    <w:rsid w:val="00C321D0"/>
    <w:rsid w:val="00C3252F"/>
    <w:rsid w:val="00C3255D"/>
    <w:rsid w:val="00C329BF"/>
    <w:rsid w:val="00C32F30"/>
    <w:rsid w:val="00C33A68"/>
    <w:rsid w:val="00C33FEA"/>
    <w:rsid w:val="00C349F1"/>
    <w:rsid w:val="00C34D79"/>
    <w:rsid w:val="00C34FBD"/>
    <w:rsid w:val="00C35420"/>
    <w:rsid w:val="00C35D8E"/>
    <w:rsid w:val="00C3655C"/>
    <w:rsid w:val="00C36CF6"/>
    <w:rsid w:val="00C4128B"/>
    <w:rsid w:val="00C413C7"/>
    <w:rsid w:val="00C415FE"/>
    <w:rsid w:val="00C41E0C"/>
    <w:rsid w:val="00C435A4"/>
    <w:rsid w:val="00C4362C"/>
    <w:rsid w:val="00C43A0A"/>
    <w:rsid w:val="00C446D5"/>
    <w:rsid w:val="00C44A7A"/>
    <w:rsid w:val="00C44D75"/>
    <w:rsid w:val="00C458A4"/>
    <w:rsid w:val="00C45E1C"/>
    <w:rsid w:val="00C45EEE"/>
    <w:rsid w:val="00C45FAA"/>
    <w:rsid w:val="00C47C97"/>
    <w:rsid w:val="00C47E15"/>
    <w:rsid w:val="00C47F82"/>
    <w:rsid w:val="00C50365"/>
    <w:rsid w:val="00C507CF"/>
    <w:rsid w:val="00C516FA"/>
    <w:rsid w:val="00C5263D"/>
    <w:rsid w:val="00C526A9"/>
    <w:rsid w:val="00C52729"/>
    <w:rsid w:val="00C532F6"/>
    <w:rsid w:val="00C53B04"/>
    <w:rsid w:val="00C5433E"/>
    <w:rsid w:val="00C54718"/>
    <w:rsid w:val="00C54E42"/>
    <w:rsid w:val="00C562A5"/>
    <w:rsid w:val="00C5793D"/>
    <w:rsid w:val="00C604A9"/>
    <w:rsid w:val="00C61355"/>
    <w:rsid w:val="00C61C0C"/>
    <w:rsid w:val="00C62AB5"/>
    <w:rsid w:val="00C62F10"/>
    <w:rsid w:val="00C63CE2"/>
    <w:rsid w:val="00C64082"/>
    <w:rsid w:val="00C640EE"/>
    <w:rsid w:val="00C6531B"/>
    <w:rsid w:val="00C65AAD"/>
    <w:rsid w:val="00C65DC2"/>
    <w:rsid w:val="00C668D9"/>
    <w:rsid w:val="00C67454"/>
    <w:rsid w:val="00C67D29"/>
    <w:rsid w:val="00C70378"/>
    <w:rsid w:val="00C7085B"/>
    <w:rsid w:val="00C70F1E"/>
    <w:rsid w:val="00C710B1"/>
    <w:rsid w:val="00C7129A"/>
    <w:rsid w:val="00C71A5E"/>
    <w:rsid w:val="00C71D84"/>
    <w:rsid w:val="00C7256D"/>
    <w:rsid w:val="00C72A72"/>
    <w:rsid w:val="00C730BA"/>
    <w:rsid w:val="00C73240"/>
    <w:rsid w:val="00C7356D"/>
    <w:rsid w:val="00C735CF"/>
    <w:rsid w:val="00C740A0"/>
    <w:rsid w:val="00C7434D"/>
    <w:rsid w:val="00C7446C"/>
    <w:rsid w:val="00C749CB"/>
    <w:rsid w:val="00C757E1"/>
    <w:rsid w:val="00C767CB"/>
    <w:rsid w:val="00C76A32"/>
    <w:rsid w:val="00C8042B"/>
    <w:rsid w:val="00C81070"/>
    <w:rsid w:val="00C81FFF"/>
    <w:rsid w:val="00C828D2"/>
    <w:rsid w:val="00C83052"/>
    <w:rsid w:val="00C835A8"/>
    <w:rsid w:val="00C83A51"/>
    <w:rsid w:val="00C841C7"/>
    <w:rsid w:val="00C84F0D"/>
    <w:rsid w:val="00C86E9A"/>
    <w:rsid w:val="00C87022"/>
    <w:rsid w:val="00C870A7"/>
    <w:rsid w:val="00C8760B"/>
    <w:rsid w:val="00C8765B"/>
    <w:rsid w:val="00C879CE"/>
    <w:rsid w:val="00C90331"/>
    <w:rsid w:val="00C90A39"/>
    <w:rsid w:val="00C925D5"/>
    <w:rsid w:val="00C92795"/>
    <w:rsid w:val="00C929F8"/>
    <w:rsid w:val="00C93A51"/>
    <w:rsid w:val="00C93C98"/>
    <w:rsid w:val="00C93F41"/>
    <w:rsid w:val="00C94783"/>
    <w:rsid w:val="00C947E1"/>
    <w:rsid w:val="00C94B55"/>
    <w:rsid w:val="00C955E3"/>
    <w:rsid w:val="00CA12D4"/>
    <w:rsid w:val="00CA1BA2"/>
    <w:rsid w:val="00CA1D66"/>
    <w:rsid w:val="00CA235F"/>
    <w:rsid w:val="00CA2884"/>
    <w:rsid w:val="00CA29C7"/>
    <w:rsid w:val="00CA29F0"/>
    <w:rsid w:val="00CA2FA3"/>
    <w:rsid w:val="00CA3067"/>
    <w:rsid w:val="00CA36BA"/>
    <w:rsid w:val="00CA38E1"/>
    <w:rsid w:val="00CA6452"/>
    <w:rsid w:val="00CA65CD"/>
    <w:rsid w:val="00CA6697"/>
    <w:rsid w:val="00CA6798"/>
    <w:rsid w:val="00CA70DD"/>
    <w:rsid w:val="00CA738F"/>
    <w:rsid w:val="00CB105D"/>
    <w:rsid w:val="00CB3179"/>
    <w:rsid w:val="00CB3236"/>
    <w:rsid w:val="00CB3249"/>
    <w:rsid w:val="00CB3C35"/>
    <w:rsid w:val="00CB4109"/>
    <w:rsid w:val="00CB438F"/>
    <w:rsid w:val="00CB4491"/>
    <w:rsid w:val="00CB4FE8"/>
    <w:rsid w:val="00CB5108"/>
    <w:rsid w:val="00CB5712"/>
    <w:rsid w:val="00CB64CD"/>
    <w:rsid w:val="00CB7973"/>
    <w:rsid w:val="00CB7A62"/>
    <w:rsid w:val="00CC0A7B"/>
    <w:rsid w:val="00CC283A"/>
    <w:rsid w:val="00CC2C62"/>
    <w:rsid w:val="00CC2EE3"/>
    <w:rsid w:val="00CC40B0"/>
    <w:rsid w:val="00CC483D"/>
    <w:rsid w:val="00CC4DA3"/>
    <w:rsid w:val="00CC5CE7"/>
    <w:rsid w:val="00CC5D1E"/>
    <w:rsid w:val="00CC6E34"/>
    <w:rsid w:val="00CC71F2"/>
    <w:rsid w:val="00CD001F"/>
    <w:rsid w:val="00CD028C"/>
    <w:rsid w:val="00CD2634"/>
    <w:rsid w:val="00CD27B6"/>
    <w:rsid w:val="00CD2B9E"/>
    <w:rsid w:val="00CD3272"/>
    <w:rsid w:val="00CD4497"/>
    <w:rsid w:val="00CD4771"/>
    <w:rsid w:val="00CD4C47"/>
    <w:rsid w:val="00CD5492"/>
    <w:rsid w:val="00CD5A5D"/>
    <w:rsid w:val="00CD6274"/>
    <w:rsid w:val="00CD6602"/>
    <w:rsid w:val="00CD6F9A"/>
    <w:rsid w:val="00CD7570"/>
    <w:rsid w:val="00CD77ED"/>
    <w:rsid w:val="00CD7868"/>
    <w:rsid w:val="00CE0737"/>
    <w:rsid w:val="00CE189C"/>
    <w:rsid w:val="00CE1C5D"/>
    <w:rsid w:val="00CE2628"/>
    <w:rsid w:val="00CE2663"/>
    <w:rsid w:val="00CE2D2A"/>
    <w:rsid w:val="00CE2F17"/>
    <w:rsid w:val="00CE3488"/>
    <w:rsid w:val="00CE3EB5"/>
    <w:rsid w:val="00CE4BA2"/>
    <w:rsid w:val="00CE52E6"/>
    <w:rsid w:val="00CE6287"/>
    <w:rsid w:val="00CE629D"/>
    <w:rsid w:val="00CE6F0A"/>
    <w:rsid w:val="00CE7017"/>
    <w:rsid w:val="00CE7988"/>
    <w:rsid w:val="00CE7CCA"/>
    <w:rsid w:val="00CE7F0C"/>
    <w:rsid w:val="00CF3724"/>
    <w:rsid w:val="00CF3ACD"/>
    <w:rsid w:val="00CF3ECC"/>
    <w:rsid w:val="00CF4056"/>
    <w:rsid w:val="00CF4E29"/>
    <w:rsid w:val="00CF5925"/>
    <w:rsid w:val="00CF5A2D"/>
    <w:rsid w:val="00CF5D62"/>
    <w:rsid w:val="00CF64B4"/>
    <w:rsid w:val="00CF665C"/>
    <w:rsid w:val="00D004A3"/>
    <w:rsid w:val="00D008B0"/>
    <w:rsid w:val="00D00991"/>
    <w:rsid w:val="00D04976"/>
    <w:rsid w:val="00D053BD"/>
    <w:rsid w:val="00D05922"/>
    <w:rsid w:val="00D071A4"/>
    <w:rsid w:val="00D07EBB"/>
    <w:rsid w:val="00D10502"/>
    <w:rsid w:val="00D10912"/>
    <w:rsid w:val="00D10B95"/>
    <w:rsid w:val="00D112D0"/>
    <w:rsid w:val="00D11556"/>
    <w:rsid w:val="00D11740"/>
    <w:rsid w:val="00D11EE6"/>
    <w:rsid w:val="00D12F55"/>
    <w:rsid w:val="00D13BA7"/>
    <w:rsid w:val="00D13D97"/>
    <w:rsid w:val="00D13F93"/>
    <w:rsid w:val="00D14161"/>
    <w:rsid w:val="00D1436E"/>
    <w:rsid w:val="00D1542B"/>
    <w:rsid w:val="00D15D7B"/>
    <w:rsid w:val="00D16B7D"/>
    <w:rsid w:val="00D1787A"/>
    <w:rsid w:val="00D17AB6"/>
    <w:rsid w:val="00D206F5"/>
    <w:rsid w:val="00D20B15"/>
    <w:rsid w:val="00D20DE6"/>
    <w:rsid w:val="00D2109F"/>
    <w:rsid w:val="00D212ED"/>
    <w:rsid w:val="00D21C64"/>
    <w:rsid w:val="00D23012"/>
    <w:rsid w:val="00D23D36"/>
    <w:rsid w:val="00D23EC8"/>
    <w:rsid w:val="00D248B9"/>
    <w:rsid w:val="00D258EC"/>
    <w:rsid w:val="00D25E56"/>
    <w:rsid w:val="00D2728A"/>
    <w:rsid w:val="00D30115"/>
    <w:rsid w:val="00D30F61"/>
    <w:rsid w:val="00D31C26"/>
    <w:rsid w:val="00D33731"/>
    <w:rsid w:val="00D351F4"/>
    <w:rsid w:val="00D3560F"/>
    <w:rsid w:val="00D35C1A"/>
    <w:rsid w:val="00D36BB8"/>
    <w:rsid w:val="00D37195"/>
    <w:rsid w:val="00D40320"/>
    <w:rsid w:val="00D415AE"/>
    <w:rsid w:val="00D425D8"/>
    <w:rsid w:val="00D426ED"/>
    <w:rsid w:val="00D4276F"/>
    <w:rsid w:val="00D446B3"/>
    <w:rsid w:val="00D4541C"/>
    <w:rsid w:val="00D455D7"/>
    <w:rsid w:val="00D47306"/>
    <w:rsid w:val="00D47502"/>
    <w:rsid w:val="00D4778E"/>
    <w:rsid w:val="00D53552"/>
    <w:rsid w:val="00D5375C"/>
    <w:rsid w:val="00D53830"/>
    <w:rsid w:val="00D53912"/>
    <w:rsid w:val="00D54353"/>
    <w:rsid w:val="00D55A5F"/>
    <w:rsid w:val="00D563C0"/>
    <w:rsid w:val="00D564F6"/>
    <w:rsid w:val="00D56B37"/>
    <w:rsid w:val="00D571AC"/>
    <w:rsid w:val="00D57890"/>
    <w:rsid w:val="00D57DE1"/>
    <w:rsid w:val="00D6041E"/>
    <w:rsid w:val="00D604AC"/>
    <w:rsid w:val="00D607C2"/>
    <w:rsid w:val="00D60F18"/>
    <w:rsid w:val="00D62C02"/>
    <w:rsid w:val="00D6378E"/>
    <w:rsid w:val="00D63AD5"/>
    <w:rsid w:val="00D648E7"/>
    <w:rsid w:val="00D64CCE"/>
    <w:rsid w:val="00D70FEC"/>
    <w:rsid w:val="00D7159E"/>
    <w:rsid w:val="00D71F24"/>
    <w:rsid w:val="00D723CD"/>
    <w:rsid w:val="00D72B37"/>
    <w:rsid w:val="00D732CF"/>
    <w:rsid w:val="00D7412D"/>
    <w:rsid w:val="00D74A21"/>
    <w:rsid w:val="00D74CCA"/>
    <w:rsid w:val="00D74FCE"/>
    <w:rsid w:val="00D76AC6"/>
    <w:rsid w:val="00D76B15"/>
    <w:rsid w:val="00D779B2"/>
    <w:rsid w:val="00D77CA1"/>
    <w:rsid w:val="00D77F9D"/>
    <w:rsid w:val="00D80768"/>
    <w:rsid w:val="00D80972"/>
    <w:rsid w:val="00D80BDF"/>
    <w:rsid w:val="00D813E0"/>
    <w:rsid w:val="00D816A9"/>
    <w:rsid w:val="00D81DC8"/>
    <w:rsid w:val="00D825CA"/>
    <w:rsid w:val="00D8275E"/>
    <w:rsid w:val="00D82C96"/>
    <w:rsid w:val="00D83303"/>
    <w:rsid w:val="00D839E0"/>
    <w:rsid w:val="00D8462B"/>
    <w:rsid w:val="00D852FA"/>
    <w:rsid w:val="00D858A3"/>
    <w:rsid w:val="00D85A2D"/>
    <w:rsid w:val="00D85F61"/>
    <w:rsid w:val="00D87281"/>
    <w:rsid w:val="00D90541"/>
    <w:rsid w:val="00D915B4"/>
    <w:rsid w:val="00D919EC"/>
    <w:rsid w:val="00D91C33"/>
    <w:rsid w:val="00D91CF8"/>
    <w:rsid w:val="00D92483"/>
    <w:rsid w:val="00D92C76"/>
    <w:rsid w:val="00D930BF"/>
    <w:rsid w:val="00D94BA5"/>
    <w:rsid w:val="00D95840"/>
    <w:rsid w:val="00D96D23"/>
    <w:rsid w:val="00D9752F"/>
    <w:rsid w:val="00D97AF4"/>
    <w:rsid w:val="00DA00A0"/>
    <w:rsid w:val="00DA01DC"/>
    <w:rsid w:val="00DA05AA"/>
    <w:rsid w:val="00DA1C5D"/>
    <w:rsid w:val="00DA2FC6"/>
    <w:rsid w:val="00DA388B"/>
    <w:rsid w:val="00DA3F85"/>
    <w:rsid w:val="00DA40B7"/>
    <w:rsid w:val="00DA4CB9"/>
    <w:rsid w:val="00DA53D3"/>
    <w:rsid w:val="00DA6229"/>
    <w:rsid w:val="00DA62C9"/>
    <w:rsid w:val="00DA64B9"/>
    <w:rsid w:val="00DA6A09"/>
    <w:rsid w:val="00DB0A19"/>
    <w:rsid w:val="00DB0A4F"/>
    <w:rsid w:val="00DB1B7A"/>
    <w:rsid w:val="00DB1FBF"/>
    <w:rsid w:val="00DB204A"/>
    <w:rsid w:val="00DB2537"/>
    <w:rsid w:val="00DB25B8"/>
    <w:rsid w:val="00DB28C0"/>
    <w:rsid w:val="00DB3977"/>
    <w:rsid w:val="00DB3E5A"/>
    <w:rsid w:val="00DB469C"/>
    <w:rsid w:val="00DB49F4"/>
    <w:rsid w:val="00DB5629"/>
    <w:rsid w:val="00DB6011"/>
    <w:rsid w:val="00DB68C7"/>
    <w:rsid w:val="00DB6C19"/>
    <w:rsid w:val="00DB78CB"/>
    <w:rsid w:val="00DC031A"/>
    <w:rsid w:val="00DC0E78"/>
    <w:rsid w:val="00DC13C7"/>
    <w:rsid w:val="00DC274A"/>
    <w:rsid w:val="00DC3C1D"/>
    <w:rsid w:val="00DC4993"/>
    <w:rsid w:val="00DC5D53"/>
    <w:rsid w:val="00DC6601"/>
    <w:rsid w:val="00DC754C"/>
    <w:rsid w:val="00DD0DDE"/>
    <w:rsid w:val="00DD0FC5"/>
    <w:rsid w:val="00DD17F9"/>
    <w:rsid w:val="00DD1F64"/>
    <w:rsid w:val="00DD2ED7"/>
    <w:rsid w:val="00DD2FD5"/>
    <w:rsid w:val="00DD3671"/>
    <w:rsid w:val="00DD540D"/>
    <w:rsid w:val="00DD5F84"/>
    <w:rsid w:val="00DD61F8"/>
    <w:rsid w:val="00DD6ABA"/>
    <w:rsid w:val="00DD7397"/>
    <w:rsid w:val="00DD7B81"/>
    <w:rsid w:val="00DD7CD8"/>
    <w:rsid w:val="00DE0385"/>
    <w:rsid w:val="00DE0DB9"/>
    <w:rsid w:val="00DE13CA"/>
    <w:rsid w:val="00DE2737"/>
    <w:rsid w:val="00DE2EEE"/>
    <w:rsid w:val="00DE3A1F"/>
    <w:rsid w:val="00DE4969"/>
    <w:rsid w:val="00DE4A91"/>
    <w:rsid w:val="00DE511F"/>
    <w:rsid w:val="00DE5A02"/>
    <w:rsid w:val="00DE5C7F"/>
    <w:rsid w:val="00DE6244"/>
    <w:rsid w:val="00DE685A"/>
    <w:rsid w:val="00DE6BC7"/>
    <w:rsid w:val="00DE718A"/>
    <w:rsid w:val="00DE7289"/>
    <w:rsid w:val="00DE7513"/>
    <w:rsid w:val="00DE7535"/>
    <w:rsid w:val="00DE79C6"/>
    <w:rsid w:val="00DE7D8E"/>
    <w:rsid w:val="00DF016A"/>
    <w:rsid w:val="00DF01E1"/>
    <w:rsid w:val="00DF0367"/>
    <w:rsid w:val="00DF09CF"/>
    <w:rsid w:val="00DF0BF6"/>
    <w:rsid w:val="00DF15C8"/>
    <w:rsid w:val="00DF182E"/>
    <w:rsid w:val="00DF1F52"/>
    <w:rsid w:val="00DF1F61"/>
    <w:rsid w:val="00DF22A2"/>
    <w:rsid w:val="00DF29B1"/>
    <w:rsid w:val="00DF2DAF"/>
    <w:rsid w:val="00DF312E"/>
    <w:rsid w:val="00DF315C"/>
    <w:rsid w:val="00DF51FB"/>
    <w:rsid w:val="00DF55C1"/>
    <w:rsid w:val="00DF560B"/>
    <w:rsid w:val="00DF58DD"/>
    <w:rsid w:val="00DF5EC6"/>
    <w:rsid w:val="00DF697F"/>
    <w:rsid w:val="00DF76B3"/>
    <w:rsid w:val="00DF7BF0"/>
    <w:rsid w:val="00E00FF1"/>
    <w:rsid w:val="00E0128B"/>
    <w:rsid w:val="00E01997"/>
    <w:rsid w:val="00E024AB"/>
    <w:rsid w:val="00E03177"/>
    <w:rsid w:val="00E03740"/>
    <w:rsid w:val="00E03C0F"/>
    <w:rsid w:val="00E068C5"/>
    <w:rsid w:val="00E06AF3"/>
    <w:rsid w:val="00E06B1A"/>
    <w:rsid w:val="00E0731D"/>
    <w:rsid w:val="00E07616"/>
    <w:rsid w:val="00E076CD"/>
    <w:rsid w:val="00E1004C"/>
    <w:rsid w:val="00E1068F"/>
    <w:rsid w:val="00E107E6"/>
    <w:rsid w:val="00E10EEC"/>
    <w:rsid w:val="00E1129F"/>
    <w:rsid w:val="00E1188B"/>
    <w:rsid w:val="00E122F4"/>
    <w:rsid w:val="00E123ED"/>
    <w:rsid w:val="00E12941"/>
    <w:rsid w:val="00E12E12"/>
    <w:rsid w:val="00E1359E"/>
    <w:rsid w:val="00E13688"/>
    <w:rsid w:val="00E13A0D"/>
    <w:rsid w:val="00E15255"/>
    <w:rsid w:val="00E15A61"/>
    <w:rsid w:val="00E15C2D"/>
    <w:rsid w:val="00E16D49"/>
    <w:rsid w:val="00E20199"/>
    <w:rsid w:val="00E20ADF"/>
    <w:rsid w:val="00E21A27"/>
    <w:rsid w:val="00E21A5A"/>
    <w:rsid w:val="00E21FA1"/>
    <w:rsid w:val="00E22917"/>
    <w:rsid w:val="00E22998"/>
    <w:rsid w:val="00E22B4E"/>
    <w:rsid w:val="00E231B9"/>
    <w:rsid w:val="00E24A0F"/>
    <w:rsid w:val="00E25E45"/>
    <w:rsid w:val="00E2655C"/>
    <w:rsid w:val="00E269BA"/>
    <w:rsid w:val="00E269C1"/>
    <w:rsid w:val="00E26DB0"/>
    <w:rsid w:val="00E26FB0"/>
    <w:rsid w:val="00E2720A"/>
    <w:rsid w:val="00E27524"/>
    <w:rsid w:val="00E279ED"/>
    <w:rsid w:val="00E27E06"/>
    <w:rsid w:val="00E30CA7"/>
    <w:rsid w:val="00E30D42"/>
    <w:rsid w:val="00E3124E"/>
    <w:rsid w:val="00E313A5"/>
    <w:rsid w:val="00E32C6F"/>
    <w:rsid w:val="00E32D62"/>
    <w:rsid w:val="00E32EAE"/>
    <w:rsid w:val="00E3376E"/>
    <w:rsid w:val="00E33878"/>
    <w:rsid w:val="00E349C1"/>
    <w:rsid w:val="00E34CD6"/>
    <w:rsid w:val="00E354F2"/>
    <w:rsid w:val="00E3595D"/>
    <w:rsid w:val="00E35DFA"/>
    <w:rsid w:val="00E36066"/>
    <w:rsid w:val="00E366F2"/>
    <w:rsid w:val="00E37402"/>
    <w:rsid w:val="00E37739"/>
    <w:rsid w:val="00E41E2F"/>
    <w:rsid w:val="00E42075"/>
    <w:rsid w:val="00E42CF2"/>
    <w:rsid w:val="00E42F74"/>
    <w:rsid w:val="00E436A1"/>
    <w:rsid w:val="00E43B7E"/>
    <w:rsid w:val="00E440AF"/>
    <w:rsid w:val="00E44491"/>
    <w:rsid w:val="00E4481E"/>
    <w:rsid w:val="00E44A2B"/>
    <w:rsid w:val="00E44A7D"/>
    <w:rsid w:val="00E453E6"/>
    <w:rsid w:val="00E45A89"/>
    <w:rsid w:val="00E45F19"/>
    <w:rsid w:val="00E45FC8"/>
    <w:rsid w:val="00E46207"/>
    <w:rsid w:val="00E46400"/>
    <w:rsid w:val="00E4661E"/>
    <w:rsid w:val="00E475B5"/>
    <w:rsid w:val="00E50674"/>
    <w:rsid w:val="00E5146F"/>
    <w:rsid w:val="00E5188C"/>
    <w:rsid w:val="00E52015"/>
    <w:rsid w:val="00E524AF"/>
    <w:rsid w:val="00E52666"/>
    <w:rsid w:val="00E530F6"/>
    <w:rsid w:val="00E534E7"/>
    <w:rsid w:val="00E53E09"/>
    <w:rsid w:val="00E53EA2"/>
    <w:rsid w:val="00E54BF8"/>
    <w:rsid w:val="00E55438"/>
    <w:rsid w:val="00E562C0"/>
    <w:rsid w:val="00E5676F"/>
    <w:rsid w:val="00E56EEA"/>
    <w:rsid w:val="00E61772"/>
    <w:rsid w:val="00E6248E"/>
    <w:rsid w:val="00E6258F"/>
    <w:rsid w:val="00E62CCC"/>
    <w:rsid w:val="00E62F95"/>
    <w:rsid w:val="00E633B2"/>
    <w:rsid w:val="00E64293"/>
    <w:rsid w:val="00E64402"/>
    <w:rsid w:val="00E64B99"/>
    <w:rsid w:val="00E64BF6"/>
    <w:rsid w:val="00E6586D"/>
    <w:rsid w:val="00E6691A"/>
    <w:rsid w:val="00E66F82"/>
    <w:rsid w:val="00E67016"/>
    <w:rsid w:val="00E67345"/>
    <w:rsid w:val="00E709A4"/>
    <w:rsid w:val="00E70C60"/>
    <w:rsid w:val="00E70F18"/>
    <w:rsid w:val="00E720EA"/>
    <w:rsid w:val="00E72702"/>
    <w:rsid w:val="00E74FD3"/>
    <w:rsid w:val="00E752F6"/>
    <w:rsid w:val="00E7577B"/>
    <w:rsid w:val="00E75994"/>
    <w:rsid w:val="00E75BB0"/>
    <w:rsid w:val="00E762DE"/>
    <w:rsid w:val="00E76DCC"/>
    <w:rsid w:val="00E8059E"/>
    <w:rsid w:val="00E81812"/>
    <w:rsid w:val="00E821B1"/>
    <w:rsid w:val="00E824BF"/>
    <w:rsid w:val="00E82853"/>
    <w:rsid w:val="00E82CE8"/>
    <w:rsid w:val="00E82FD7"/>
    <w:rsid w:val="00E83206"/>
    <w:rsid w:val="00E83A18"/>
    <w:rsid w:val="00E8452D"/>
    <w:rsid w:val="00E848C3"/>
    <w:rsid w:val="00E85FBD"/>
    <w:rsid w:val="00E867AE"/>
    <w:rsid w:val="00E86A0B"/>
    <w:rsid w:val="00E86C1B"/>
    <w:rsid w:val="00E909CE"/>
    <w:rsid w:val="00E90D27"/>
    <w:rsid w:val="00E9225E"/>
    <w:rsid w:val="00E925D7"/>
    <w:rsid w:val="00E92C64"/>
    <w:rsid w:val="00E92E00"/>
    <w:rsid w:val="00E92FDF"/>
    <w:rsid w:val="00E94C4A"/>
    <w:rsid w:val="00E94F5C"/>
    <w:rsid w:val="00E956B8"/>
    <w:rsid w:val="00E9596B"/>
    <w:rsid w:val="00E95B77"/>
    <w:rsid w:val="00E9709F"/>
    <w:rsid w:val="00E97397"/>
    <w:rsid w:val="00E977B4"/>
    <w:rsid w:val="00E97CDC"/>
    <w:rsid w:val="00EA01FB"/>
    <w:rsid w:val="00EA043D"/>
    <w:rsid w:val="00EA0D87"/>
    <w:rsid w:val="00EA1624"/>
    <w:rsid w:val="00EA1B9A"/>
    <w:rsid w:val="00EA1F96"/>
    <w:rsid w:val="00EA290A"/>
    <w:rsid w:val="00EA2A53"/>
    <w:rsid w:val="00EA30E1"/>
    <w:rsid w:val="00EA409C"/>
    <w:rsid w:val="00EA5369"/>
    <w:rsid w:val="00EA54F9"/>
    <w:rsid w:val="00EA55CE"/>
    <w:rsid w:val="00EA6382"/>
    <w:rsid w:val="00EA7177"/>
    <w:rsid w:val="00EA7925"/>
    <w:rsid w:val="00EA79B1"/>
    <w:rsid w:val="00EA7B17"/>
    <w:rsid w:val="00EB0298"/>
    <w:rsid w:val="00EB05BC"/>
    <w:rsid w:val="00EB062C"/>
    <w:rsid w:val="00EB10AD"/>
    <w:rsid w:val="00EB13BA"/>
    <w:rsid w:val="00EB1647"/>
    <w:rsid w:val="00EB1740"/>
    <w:rsid w:val="00EB1A77"/>
    <w:rsid w:val="00EB1CA0"/>
    <w:rsid w:val="00EB276C"/>
    <w:rsid w:val="00EB31BD"/>
    <w:rsid w:val="00EB3486"/>
    <w:rsid w:val="00EB37E9"/>
    <w:rsid w:val="00EB3C50"/>
    <w:rsid w:val="00EB3D1C"/>
    <w:rsid w:val="00EB4185"/>
    <w:rsid w:val="00EB4562"/>
    <w:rsid w:val="00EB4576"/>
    <w:rsid w:val="00EB4ACC"/>
    <w:rsid w:val="00EB5B21"/>
    <w:rsid w:val="00EB5B91"/>
    <w:rsid w:val="00EB5CDC"/>
    <w:rsid w:val="00EB6BC4"/>
    <w:rsid w:val="00EB6FA6"/>
    <w:rsid w:val="00EB72DD"/>
    <w:rsid w:val="00EB7599"/>
    <w:rsid w:val="00EB796C"/>
    <w:rsid w:val="00EC0846"/>
    <w:rsid w:val="00EC0D33"/>
    <w:rsid w:val="00EC10BE"/>
    <w:rsid w:val="00EC2124"/>
    <w:rsid w:val="00EC2816"/>
    <w:rsid w:val="00EC347A"/>
    <w:rsid w:val="00EC4321"/>
    <w:rsid w:val="00EC47A8"/>
    <w:rsid w:val="00EC4B0A"/>
    <w:rsid w:val="00EC6E73"/>
    <w:rsid w:val="00EC6F8C"/>
    <w:rsid w:val="00EC789B"/>
    <w:rsid w:val="00ED0008"/>
    <w:rsid w:val="00ED127B"/>
    <w:rsid w:val="00ED18B9"/>
    <w:rsid w:val="00ED2305"/>
    <w:rsid w:val="00ED3CBA"/>
    <w:rsid w:val="00ED3D73"/>
    <w:rsid w:val="00ED4463"/>
    <w:rsid w:val="00ED46CD"/>
    <w:rsid w:val="00ED6011"/>
    <w:rsid w:val="00ED615C"/>
    <w:rsid w:val="00ED68FC"/>
    <w:rsid w:val="00ED7693"/>
    <w:rsid w:val="00ED7BCE"/>
    <w:rsid w:val="00EE0065"/>
    <w:rsid w:val="00EE1AD2"/>
    <w:rsid w:val="00EE2037"/>
    <w:rsid w:val="00EE268E"/>
    <w:rsid w:val="00EE2C0F"/>
    <w:rsid w:val="00EE2C2E"/>
    <w:rsid w:val="00EE2ECE"/>
    <w:rsid w:val="00EE3119"/>
    <w:rsid w:val="00EE3177"/>
    <w:rsid w:val="00EE3831"/>
    <w:rsid w:val="00EE38D6"/>
    <w:rsid w:val="00EE4304"/>
    <w:rsid w:val="00EE4B40"/>
    <w:rsid w:val="00EE57C4"/>
    <w:rsid w:val="00EE5A6D"/>
    <w:rsid w:val="00EE5F5C"/>
    <w:rsid w:val="00EE6867"/>
    <w:rsid w:val="00EE6991"/>
    <w:rsid w:val="00EE6A28"/>
    <w:rsid w:val="00EE7751"/>
    <w:rsid w:val="00EF1558"/>
    <w:rsid w:val="00EF1894"/>
    <w:rsid w:val="00EF2677"/>
    <w:rsid w:val="00EF3A5A"/>
    <w:rsid w:val="00EF3B4F"/>
    <w:rsid w:val="00EF4068"/>
    <w:rsid w:val="00EF43A6"/>
    <w:rsid w:val="00EF49DD"/>
    <w:rsid w:val="00EF5E39"/>
    <w:rsid w:val="00EF6223"/>
    <w:rsid w:val="00EF78ED"/>
    <w:rsid w:val="00EF79F0"/>
    <w:rsid w:val="00F00A89"/>
    <w:rsid w:val="00F01078"/>
    <w:rsid w:val="00F02595"/>
    <w:rsid w:val="00F0272F"/>
    <w:rsid w:val="00F0295B"/>
    <w:rsid w:val="00F04584"/>
    <w:rsid w:val="00F047F6"/>
    <w:rsid w:val="00F055EA"/>
    <w:rsid w:val="00F0589A"/>
    <w:rsid w:val="00F061AD"/>
    <w:rsid w:val="00F063DB"/>
    <w:rsid w:val="00F0718B"/>
    <w:rsid w:val="00F07307"/>
    <w:rsid w:val="00F10A53"/>
    <w:rsid w:val="00F10C95"/>
    <w:rsid w:val="00F10E10"/>
    <w:rsid w:val="00F1234A"/>
    <w:rsid w:val="00F12E4F"/>
    <w:rsid w:val="00F13299"/>
    <w:rsid w:val="00F141CF"/>
    <w:rsid w:val="00F14955"/>
    <w:rsid w:val="00F15209"/>
    <w:rsid w:val="00F162E8"/>
    <w:rsid w:val="00F20213"/>
    <w:rsid w:val="00F2096A"/>
    <w:rsid w:val="00F21B97"/>
    <w:rsid w:val="00F22146"/>
    <w:rsid w:val="00F2242C"/>
    <w:rsid w:val="00F228EA"/>
    <w:rsid w:val="00F22D86"/>
    <w:rsid w:val="00F23B36"/>
    <w:rsid w:val="00F23C14"/>
    <w:rsid w:val="00F23CD2"/>
    <w:rsid w:val="00F23D81"/>
    <w:rsid w:val="00F24505"/>
    <w:rsid w:val="00F24687"/>
    <w:rsid w:val="00F247C8"/>
    <w:rsid w:val="00F25248"/>
    <w:rsid w:val="00F254E9"/>
    <w:rsid w:val="00F2558C"/>
    <w:rsid w:val="00F2611F"/>
    <w:rsid w:val="00F26F54"/>
    <w:rsid w:val="00F31C9B"/>
    <w:rsid w:val="00F32415"/>
    <w:rsid w:val="00F32C9E"/>
    <w:rsid w:val="00F32CC7"/>
    <w:rsid w:val="00F33384"/>
    <w:rsid w:val="00F33566"/>
    <w:rsid w:val="00F3444C"/>
    <w:rsid w:val="00F35067"/>
    <w:rsid w:val="00F401BD"/>
    <w:rsid w:val="00F40A0C"/>
    <w:rsid w:val="00F41549"/>
    <w:rsid w:val="00F42824"/>
    <w:rsid w:val="00F433D4"/>
    <w:rsid w:val="00F433E8"/>
    <w:rsid w:val="00F43515"/>
    <w:rsid w:val="00F43873"/>
    <w:rsid w:val="00F45258"/>
    <w:rsid w:val="00F4722F"/>
    <w:rsid w:val="00F503EA"/>
    <w:rsid w:val="00F50843"/>
    <w:rsid w:val="00F50F5E"/>
    <w:rsid w:val="00F513A7"/>
    <w:rsid w:val="00F514A0"/>
    <w:rsid w:val="00F51ADE"/>
    <w:rsid w:val="00F5219D"/>
    <w:rsid w:val="00F527F7"/>
    <w:rsid w:val="00F5376D"/>
    <w:rsid w:val="00F539F8"/>
    <w:rsid w:val="00F548F7"/>
    <w:rsid w:val="00F549A7"/>
    <w:rsid w:val="00F603F5"/>
    <w:rsid w:val="00F606DD"/>
    <w:rsid w:val="00F614EB"/>
    <w:rsid w:val="00F62CCA"/>
    <w:rsid w:val="00F62E57"/>
    <w:rsid w:val="00F63D6E"/>
    <w:rsid w:val="00F64176"/>
    <w:rsid w:val="00F666C3"/>
    <w:rsid w:val="00F67B75"/>
    <w:rsid w:val="00F70F78"/>
    <w:rsid w:val="00F72723"/>
    <w:rsid w:val="00F737AB"/>
    <w:rsid w:val="00F73BD1"/>
    <w:rsid w:val="00F73C8F"/>
    <w:rsid w:val="00F742D4"/>
    <w:rsid w:val="00F7472F"/>
    <w:rsid w:val="00F749DA"/>
    <w:rsid w:val="00F75658"/>
    <w:rsid w:val="00F76E4A"/>
    <w:rsid w:val="00F7794F"/>
    <w:rsid w:val="00F80BA8"/>
    <w:rsid w:val="00F81024"/>
    <w:rsid w:val="00F84087"/>
    <w:rsid w:val="00F848BF"/>
    <w:rsid w:val="00F84AD7"/>
    <w:rsid w:val="00F871D1"/>
    <w:rsid w:val="00F87515"/>
    <w:rsid w:val="00F90E08"/>
    <w:rsid w:val="00F910E1"/>
    <w:rsid w:val="00F93A98"/>
    <w:rsid w:val="00F93B68"/>
    <w:rsid w:val="00F940CE"/>
    <w:rsid w:val="00F94864"/>
    <w:rsid w:val="00F94A2A"/>
    <w:rsid w:val="00F94D0D"/>
    <w:rsid w:val="00F950D6"/>
    <w:rsid w:val="00F95335"/>
    <w:rsid w:val="00F9558E"/>
    <w:rsid w:val="00F95651"/>
    <w:rsid w:val="00F95D98"/>
    <w:rsid w:val="00F95E8A"/>
    <w:rsid w:val="00F95ECF"/>
    <w:rsid w:val="00F96E7B"/>
    <w:rsid w:val="00F96FD6"/>
    <w:rsid w:val="00F97035"/>
    <w:rsid w:val="00F97442"/>
    <w:rsid w:val="00FA0A29"/>
    <w:rsid w:val="00FA0B49"/>
    <w:rsid w:val="00FA25C1"/>
    <w:rsid w:val="00FA2ED0"/>
    <w:rsid w:val="00FA3A80"/>
    <w:rsid w:val="00FA3AC0"/>
    <w:rsid w:val="00FA4017"/>
    <w:rsid w:val="00FA50E2"/>
    <w:rsid w:val="00FA530F"/>
    <w:rsid w:val="00FA56BE"/>
    <w:rsid w:val="00FA584B"/>
    <w:rsid w:val="00FA62C1"/>
    <w:rsid w:val="00FA7C82"/>
    <w:rsid w:val="00FA7E61"/>
    <w:rsid w:val="00FB174D"/>
    <w:rsid w:val="00FB25C2"/>
    <w:rsid w:val="00FB2D07"/>
    <w:rsid w:val="00FB3C18"/>
    <w:rsid w:val="00FB468D"/>
    <w:rsid w:val="00FB4E48"/>
    <w:rsid w:val="00FB5B82"/>
    <w:rsid w:val="00FB6E9F"/>
    <w:rsid w:val="00FB750C"/>
    <w:rsid w:val="00FB7CEE"/>
    <w:rsid w:val="00FC0A2D"/>
    <w:rsid w:val="00FC11DE"/>
    <w:rsid w:val="00FC1450"/>
    <w:rsid w:val="00FC160D"/>
    <w:rsid w:val="00FC205C"/>
    <w:rsid w:val="00FC26C8"/>
    <w:rsid w:val="00FC36E8"/>
    <w:rsid w:val="00FC4104"/>
    <w:rsid w:val="00FC4691"/>
    <w:rsid w:val="00FC47F4"/>
    <w:rsid w:val="00FC49FC"/>
    <w:rsid w:val="00FC4E5E"/>
    <w:rsid w:val="00FC5365"/>
    <w:rsid w:val="00FC5A14"/>
    <w:rsid w:val="00FC7174"/>
    <w:rsid w:val="00FD052E"/>
    <w:rsid w:val="00FD0CD4"/>
    <w:rsid w:val="00FD0F83"/>
    <w:rsid w:val="00FD12AB"/>
    <w:rsid w:val="00FD1323"/>
    <w:rsid w:val="00FD1802"/>
    <w:rsid w:val="00FD5348"/>
    <w:rsid w:val="00FD71B9"/>
    <w:rsid w:val="00FD777E"/>
    <w:rsid w:val="00FD7F6D"/>
    <w:rsid w:val="00FE0115"/>
    <w:rsid w:val="00FE194A"/>
    <w:rsid w:val="00FE19DA"/>
    <w:rsid w:val="00FE2754"/>
    <w:rsid w:val="00FE2EB7"/>
    <w:rsid w:val="00FE43D2"/>
    <w:rsid w:val="00FE4DD0"/>
    <w:rsid w:val="00FE4DFE"/>
    <w:rsid w:val="00FE533E"/>
    <w:rsid w:val="00FE53A3"/>
    <w:rsid w:val="00FE64B4"/>
    <w:rsid w:val="00FE657A"/>
    <w:rsid w:val="00FE6681"/>
    <w:rsid w:val="00FE69BF"/>
    <w:rsid w:val="00FF08D2"/>
    <w:rsid w:val="00FF1113"/>
    <w:rsid w:val="00FF1266"/>
    <w:rsid w:val="00FF1A62"/>
    <w:rsid w:val="00FF1FB4"/>
    <w:rsid w:val="00FF217F"/>
    <w:rsid w:val="00FF244A"/>
    <w:rsid w:val="00FF2A15"/>
    <w:rsid w:val="00FF2BFE"/>
    <w:rsid w:val="00FF3064"/>
    <w:rsid w:val="00FF30BF"/>
    <w:rsid w:val="00FF378A"/>
    <w:rsid w:val="00FF38B0"/>
    <w:rsid w:val="00FF38B2"/>
    <w:rsid w:val="00FF48F3"/>
    <w:rsid w:val="00FF4BF7"/>
    <w:rsid w:val="00FF5A2E"/>
    <w:rsid w:val="00FF6A47"/>
    <w:rsid w:val="00FF7162"/>
    <w:rsid w:val="00FF7206"/>
    <w:rsid w:val="00FF78CA"/>
    <w:rsid w:val="00FF7C83"/>
    <w:rsid w:val="00FF7E2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CA8"/>
    <w:pPr>
      <w:spacing w:after="200" w:line="276" w:lineRule="auto"/>
    </w:pPr>
    <w:rPr>
      <w:lang w:val="el-G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46D99"/>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846D99"/>
    <w:rPr>
      <w:rFonts w:cs="Times New Roman"/>
    </w:rPr>
  </w:style>
  <w:style w:type="paragraph" w:styleId="Footer">
    <w:name w:val="footer"/>
    <w:basedOn w:val="Normal"/>
    <w:link w:val="FooterChar"/>
    <w:uiPriority w:val="99"/>
    <w:rsid w:val="00846D99"/>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846D99"/>
    <w:rPr>
      <w:rFonts w:cs="Times New Roman"/>
    </w:rPr>
  </w:style>
  <w:style w:type="paragraph" w:styleId="BalloonText">
    <w:name w:val="Balloon Text"/>
    <w:basedOn w:val="Normal"/>
    <w:link w:val="BalloonTextChar"/>
    <w:uiPriority w:val="99"/>
    <w:semiHidden/>
    <w:rsid w:val="00846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46D99"/>
    <w:rPr>
      <w:rFonts w:ascii="Tahoma" w:hAnsi="Tahoma" w:cs="Tahoma"/>
      <w:sz w:val="16"/>
      <w:szCs w:val="16"/>
    </w:rPr>
  </w:style>
  <w:style w:type="table" w:styleId="TableGrid">
    <w:name w:val="Table Grid"/>
    <w:basedOn w:val="TableNormal"/>
    <w:uiPriority w:val="99"/>
    <w:rsid w:val="000F178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40321D"/>
    <w:rPr>
      <w:rFonts w:cs="Times New Roman"/>
      <w:color w:val="0000FF"/>
      <w:u w:val="single"/>
    </w:rPr>
  </w:style>
  <w:style w:type="character" w:styleId="Strong">
    <w:name w:val="Strong"/>
    <w:basedOn w:val="DefaultParagraphFont"/>
    <w:uiPriority w:val="99"/>
    <w:qFormat/>
    <w:rsid w:val="0040321D"/>
    <w:rPr>
      <w:rFonts w:cs="Times New Roman"/>
      <w:b/>
      <w:bCs/>
    </w:rPr>
  </w:style>
  <w:style w:type="paragraph" w:styleId="ListParagraph">
    <w:name w:val="List Paragraph"/>
    <w:basedOn w:val="Normal"/>
    <w:uiPriority w:val="99"/>
    <w:qFormat/>
    <w:rsid w:val="00775BE6"/>
    <w:pPr>
      <w:ind w:left="720"/>
      <w:contextualSpacing/>
    </w:pPr>
  </w:style>
  <w:style w:type="table" w:styleId="LightShading-Accent1">
    <w:name w:val="Light Shading Accent 1"/>
    <w:basedOn w:val="TableNormal"/>
    <w:uiPriority w:val="99"/>
    <w:rsid w:val="00AE6F48"/>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customStyle="1" w:styleId="pagetitle1">
    <w:name w:val="pagetitle1"/>
    <w:basedOn w:val="DefaultParagraphFont"/>
    <w:uiPriority w:val="99"/>
    <w:rsid w:val="00623EA1"/>
    <w:rPr>
      <w:rFonts w:ascii="Georgia" w:hAnsi="Georgia" w:cs="Times New Roman"/>
      <w:b/>
      <w:bCs/>
      <w:color w:val="00ADEF"/>
      <w:sz w:val="21"/>
      <w:szCs w:val="21"/>
    </w:rPr>
  </w:style>
  <w:style w:type="paragraph" w:styleId="NormalWeb">
    <w:name w:val="Normal (Web)"/>
    <w:basedOn w:val="Normal"/>
    <w:uiPriority w:val="99"/>
    <w:rsid w:val="00623EA1"/>
    <w:pPr>
      <w:spacing w:before="100" w:beforeAutospacing="1" w:after="100" w:afterAutospacing="1" w:line="240" w:lineRule="auto"/>
    </w:pPr>
    <w:rPr>
      <w:rFonts w:ascii="Times New Roman" w:eastAsia="Times New Roman" w:hAnsi="Times New Roman"/>
      <w:sz w:val="24"/>
      <w:szCs w:val="24"/>
      <w:lang w:eastAsia="el-GR"/>
    </w:rPr>
  </w:style>
  <w:style w:type="character" w:styleId="Emphasis">
    <w:name w:val="Emphasis"/>
    <w:basedOn w:val="DefaultParagraphFont"/>
    <w:uiPriority w:val="99"/>
    <w:qFormat/>
    <w:rsid w:val="00A22DBD"/>
    <w:rPr>
      <w:rFonts w:cs="Times New Roman"/>
      <w:i/>
      <w:iCs/>
    </w:rPr>
  </w:style>
  <w:style w:type="paragraph" w:styleId="FootnoteText">
    <w:name w:val="footnote text"/>
    <w:basedOn w:val="Normal"/>
    <w:link w:val="FootnoteTextChar"/>
    <w:uiPriority w:val="99"/>
    <w:semiHidden/>
    <w:rsid w:val="007E132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7E132B"/>
    <w:rPr>
      <w:rFonts w:cs="Times New Roman"/>
      <w:sz w:val="20"/>
      <w:szCs w:val="20"/>
    </w:rPr>
  </w:style>
  <w:style w:type="character" w:styleId="FootnoteReference">
    <w:name w:val="footnote reference"/>
    <w:basedOn w:val="DefaultParagraphFont"/>
    <w:uiPriority w:val="99"/>
    <w:semiHidden/>
    <w:rsid w:val="007E132B"/>
    <w:rPr>
      <w:rFonts w:cs="Times New Roman"/>
      <w:vertAlign w:val="superscript"/>
    </w:rPr>
  </w:style>
  <w:style w:type="character" w:styleId="FollowedHyperlink">
    <w:name w:val="FollowedHyperlink"/>
    <w:basedOn w:val="DefaultParagraphFont"/>
    <w:uiPriority w:val="99"/>
    <w:semiHidden/>
    <w:rsid w:val="00C20A95"/>
    <w:rPr>
      <w:rFonts w:cs="Times New Roman"/>
      <w:color w:val="800080"/>
      <w:u w:val="single"/>
    </w:rPr>
  </w:style>
  <w:style w:type="character" w:styleId="CommentReference">
    <w:name w:val="annotation reference"/>
    <w:basedOn w:val="DefaultParagraphFont"/>
    <w:uiPriority w:val="99"/>
    <w:semiHidden/>
    <w:rsid w:val="005242D7"/>
    <w:rPr>
      <w:rFonts w:cs="Times New Roman"/>
      <w:sz w:val="16"/>
      <w:szCs w:val="16"/>
    </w:rPr>
  </w:style>
  <w:style w:type="paragraph" w:styleId="CommentText">
    <w:name w:val="annotation text"/>
    <w:basedOn w:val="Normal"/>
    <w:link w:val="CommentTextChar"/>
    <w:uiPriority w:val="99"/>
    <w:semiHidden/>
    <w:rsid w:val="005242D7"/>
    <w:pPr>
      <w:spacing w:line="240" w:lineRule="auto"/>
    </w:pPr>
    <w:rPr>
      <w:sz w:val="20"/>
      <w:szCs w:val="20"/>
    </w:rPr>
  </w:style>
  <w:style w:type="character" w:customStyle="1" w:styleId="CommentTextChar">
    <w:name w:val="Comment Text Char"/>
    <w:basedOn w:val="DefaultParagraphFont"/>
    <w:link w:val="CommentText"/>
    <w:uiPriority w:val="99"/>
    <w:semiHidden/>
    <w:locked/>
    <w:rsid w:val="005242D7"/>
    <w:rPr>
      <w:rFonts w:cs="Times New Roman"/>
      <w:sz w:val="20"/>
      <w:szCs w:val="20"/>
    </w:rPr>
  </w:style>
  <w:style w:type="paragraph" w:styleId="CommentSubject">
    <w:name w:val="annotation subject"/>
    <w:basedOn w:val="CommentText"/>
    <w:next w:val="CommentText"/>
    <w:link w:val="CommentSubjectChar"/>
    <w:uiPriority w:val="99"/>
    <w:semiHidden/>
    <w:rsid w:val="005242D7"/>
    <w:rPr>
      <w:b/>
      <w:bCs/>
    </w:rPr>
  </w:style>
  <w:style w:type="character" w:customStyle="1" w:styleId="CommentSubjectChar">
    <w:name w:val="Comment Subject Char"/>
    <w:basedOn w:val="CommentTextChar"/>
    <w:link w:val="CommentSubject"/>
    <w:uiPriority w:val="99"/>
    <w:semiHidden/>
    <w:locked/>
    <w:rsid w:val="005242D7"/>
    <w:rPr>
      <w:b/>
      <w:bCs/>
    </w:rPr>
  </w:style>
  <w:style w:type="character" w:customStyle="1" w:styleId="bog-bodytext1">
    <w:name w:val="bog-bodytext1"/>
    <w:basedOn w:val="DefaultParagraphFont"/>
    <w:uiPriority w:val="99"/>
    <w:rsid w:val="00686CA8"/>
    <w:rPr>
      <w:rFonts w:ascii="Tahoma" w:hAnsi="Tahoma" w:cs="Tahoma"/>
      <w:color w:val="000000"/>
    </w:rPr>
  </w:style>
  <w:style w:type="character" w:styleId="PlaceholderText">
    <w:name w:val="Placeholder Text"/>
    <w:basedOn w:val="DefaultParagraphFont"/>
    <w:uiPriority w:val="99"/>
    <w:semiHidden/>
    <w:rsid w:val="005708AD"/>
    <w:rPr>
      <w:rFonts w:cs="Times New Roman"/>
      <w:color w:val="808080"/>
    </w:rPr>
  </w:style>
  <w:style w:type="paragraph" w:styleId="Caption">
    <w:name w:val="caption"/>
    <w:basedOn w:val="Normal"/>
    <w:next w:val="Normal"/>
    <w:uiPriority w:val="99"/>
    <w:qFormat/>
    <w:rsid w:val="00E56EEA"/>
    <w:pPr>
      <w:spacing w:line="240" w:lineRule="auto"/>
    </w:pPr>
    <w:rPr>
      <w:b/>
      <w:bCs/>
      <w:color w:val="4F81BD"/>
      <w:sz w:val="18"/>
      <w:szCs w:val="18"/>
    </w:rPr>
  </w:style>
  <w:style w:type="paragraph" w:styleId="Revision">
    <w:name w:val="Revision"/>
    <w:hidden/>
    <w:uiPriority w:val="99"/>
    <w:semiHidden/>
    <w:rsid w:val="009C4CDA"/>
    <w:rPr>
      <w:lang w:val="el-GR"/>
    </w:rPr>
  </w:style>
</w:styles>
</file>

<file path=word/webSettings.xml><?xml version="1.0" encoding="utf-8"?>
<w:webSettings xmlns:r="http://schemas.openxmlformats.org/officeDocument/2006/relationships" xmlns:w="http://schemas.openxmlformats.org/wordprocessingml/2006/main">
  <w:divs>
    <w:div w:id="1351684199">
      <w:marLeft w:val="0"/>
      <w:marRight w:val="0"/>
      <w:marTop w:val="0"/>
      <w:marBottom w:val="0"/>
      <w:divBdr>
        <w:top w:val="none" w:sz="0" w:space="0" w:color="auto"/>
        <w:left w:val="none" w:sz="0" w:space="0" w:color="auto"/>
        <w:bottom w:val="none" w:sz="0" w:space="0" w:color="auto"/>
        <w:right w:val="none" w:sz="0" w:space="0" w:color="auto"/>
      </w:divBdr>
    </w:div>
    <w:div w:id="1351684200">
      <w:marLeft w:val="0"/>
      <w:marRight w:val="0"/>
      <w:marTop w:val="0"/>
      <w:marBottom w:val="0"/>
      <w:divBdr>
        <w:top w:val="none" w:sz="0" w:space="0" w:color="auto"/>
        <w:left w:val="none" w:sz="0" w:space="0" w:color="auto"/>
        <w:bottom w:val="none" w:sz="0" w:space="0" w:color="auto"/>
        <w:right w:val="none" w:sz="0" w:space="0" w:color="auto"/>
      </w:divBdr>
    </w:div>
    <w:div w:id="1351684201">
      <w:marLeft w:val="0"/>
      <w:marRight w:val="0"/>
      <w:marTop w:val="0"/>
      <w:marBottom w:val="0"/>
      <w:divBdr>
        <w:top w:val="none" w:sz="0" w:space="0" w:color="auto"/>
        <w:left w:val="none" w:sz="0" w:space="0" w:color="auto"/>
        <w:bottom w:val="none" w:sz="0" w:space="0" w:color="auto"/>
        <w:right w:val="none" w:sz="0" w:space="0" w:color="auto"/>
      </w:divBdr>
    </w:div>
    <w:div w:id="1351684202">
      <w:marLeft w:val="0"/>
      <w:marRight w:val="0"/>
      <w:marTop w:val="0"/>
      <w:marBottom w:val="0"/>
      <w:divBdr>
        <w:top w:val="none" w:sz="0" w:space="0" w:color="auto"/>
        <w:left w:val="none" w:sz="0" w:space="0" w:color="auto"/>
        <w:bottom w:val="none" w:sz="0" w:space="0" w:color="auto"/>
        <w:right w:val="none" w:sz="0" w:space="0" w:color="auto"/>
      </w:divBdr>
    </w:div>
    <w:div w:id="1351684203">
      <w:marLeft w:val="0"/>
      <w:marRight w:val="0"/>
      <w:marTop w:val="0"/>
      <w:marBottom w:val="0"/>
      <w:divBdr>
        <w:top w:val="none" w:sz="0" w:space="0" w:color="auto"/>
        <w:left w:val="none" w:sz="0" w:space="0" w:color="auto"/>
        <w:bottom w:val="none" w:sz="0" w:space="0" w:color="auto"/>
        <w:right w:val="none" w:sz="0" w:space="0" w:color="auto"/>
      </w:divBdr>
    </w:div>
    <w:div w:id="1351684204">
      <w:marLeft w:val="0"/>
      <w:marRight w:val="0"/>
      <w:marTop w:val="0"/>
      <w:marBottom w:val="0"/>
      <w:divBdr>
        <w:top w:val="none" w:sz="0" w:space="0" w:color="auto"/>
        <w:left w:val="none" w:sz="0" w:space="0" w:color="auto"/>
        <w:bottom w:val="none" w:sz="0" w:space="0" w:color="auto"/>
        <w:right w:val="none" w:sz="0" w:space="0" w:color="auto"/>
      </w:divBdr>
    </w:div>
    <w:div w:id="1351684205">
      <w:marLeft w:val="0"/>
      <w:marRight w:val="0"/>
      <w:marTop w:val="0"/>
      <w:marBottom w:val="0"/>
      <w:divBdr>
        <w:top w:val="none" w:sz="0" w:space="0" w:color="auto"/>
        <w:left w:val="none" w:sz="0" w:space="0" w:color="auto"/>
        <w:bottom w:val="none" w:sz="0" w:space="0" w:color="auto"/>
        <w:right w:val="none" w:sz="0" w:space="0" w:color="auto"/>
      </w:divBdr>
    </w:div>
    <w:div w:id="1351684206">
      <w:marLeft w:val="0"/>
      <w:marRight w:val="0"/>
      <w:marTop w:val="0"/>
      <w:marBottom w:val="0"/>
      <w:divBdr>
        <w:top w:val="none" w:sz="0" w:space="0" w:color="auto"/>
        <w:left w:val="none" w:sz="0" w:space="0" w:color="auto"/>
        <w:bottom w:val="none" w:sz="0" w:space="0" w:color="auto"/>
        <w:right w:val="none" w:sz="0" w:space="0" w:color="auto"/>
      </w:divBdr>
    </w:div>
    <w:div w:id="1351684207">
      <w:marLeft w:val="0"/>
      <w:marRight w:val="0"/>
      <w:marTop w:val="0"/>
      <w:marBottom w:val="0"/>
      <w:divBdr>
        <w:top w:val="none" w:sz="0" w:space="0" w:color="auto"/>
        <w:left w:val="none" w:sz="0" w:space="0" w:color="auto"/>
        <w:bottom w:val="none" w:sz="0" w:space="0" w:color="auto"/>
        <w:right w:val="none" w:sz="0" w:space="0" w:color="auto"/>
      </w:divBdr>
    </w:div>
    <w:div w:id="1351684208">
      <w:marLeft w:val="0"/>
      <w:marRight w:val="0"/>
      <w:marTop w:val="0"/>
      <w:marBottom w:val="0"/>
      <w:divBdr>
        <w:top w:val="none" w:sz="0" w:space="0" w:color="auto"/>
        <w:left w:val="none" w:sz="0" w:space="0" w:color="auto"/>
        <w:bottom w:val="none" w:sz="0" w:space="0" w:color="auto"/>
        <w:right w:val="none" w:sz="0" w:space="0" w:color="auto"/>
      </w:divBdr>
    </w:div>
    <w:div w:id="1351684209">
      <w:marLeft w:val="0"/>
      <w:marRight w:val="0"/>
      <w:marTop w:val="0"/>
      <w:marBottom w:val="0"/>
      <w:divBdr>
        <w:top w:val="none" w:sz="0" w:space="0" w:color="auto"/>
        <w:left w:val="none" w:sz="0" w:space="0" w:color="auto"/>
        <w:bottom w:val="none" w:sz="0" w:space="0" w:color="auto"/>
        <w:right w:val="none" w:sz="0" w:space="0" w:color="auto"/>
      </w:divBdr>
    </w:div>
    <w:div w:id="1351684210">
      <w:marLeft w:val="0"/>
      <w:marRight w:val="0"/>
      <w:marTop w:val="0"/>
      <w:marBottom w:val="0"/>
      <w:divBdr>
        <w:top w:val="none" w:sz="0" w:space="0" w:color="auto"/>
        <w:left w:val="none" w:sz="0" w:space="0" w:color="auto"/>
        <w:bottom w:val="none" w:sz="0" w:space="0" w:color="auto"/>
        <w:right w:val="none" w:sz="0" w:space="0" w:color="auto"/>
      </w:divBdr>
    </w:div>
    <w:div w:id="1351684211">
      <w:marLeft w:val="0"/>
      <w:marRight w:val="0"/>
      <w:marTop w:val="0"/>
      <w:marBottom w:val="0"/>
      <w:divBdr>
        <w:top w:val="none" w:sz="0" w:space="0" w:color="auto"/>
        <w:left w:val="none" w:sz="0" w:space="0" w:color="auto"/>
        <w:bottom w:val="none" w:sz="0" w:space="0" w:color="auto"/>
        <w:right w:val="none" w:sz="0" w:space="0" w:color="auto"/>
      </w:divBdr>
    </w:div>
    <w:div w:id="1351684212">
      <w:marLeft w:val="0"/>
      <w:marRight w:val="0"/>
      <w:marTop w:val="0"/>
      <w:marBottom w:val="0"/>
      <w:divBdr>
        <w:top w:val="none" w:sz="0" w:space="0" w:color="auto"/>
        <w:left w:val="none" w:sz="0" w:space="0" w:color="auto"/>
        <w:bottom w:val="none" w:sz="0" w:space="0" w:color="auto"/>
        <w:right w:val="none" w:sz="0" w:space="0" w:color="auto"/>
      </w:divBdr>
    </w:div>
    <w:div w:id="1351684213">
      <w:marLeft w:val="0"/>
      <w:marRight w:val="0"/>
      <w:marTop w:val="0"/>
      <w:marBottom w:val="0"/>
      <w:divBdr>
        <w:top w:val="none" w:sz="0" w:space="0" w:color="auto"/>
        <w:left w:val="none" w:sz="0" w:space="0" w:color="auto"/>
        <w:bottom w:val="none" w:sz="0" w:space="0" w:color="auto"/>
        <w:right w:val="none" w:sz="0" w:space="0" w:color="auto"/>
      </w:divBdr>
    </w:div>
    <w:div w:id="1351684214">
      <w:marLeft w:val="0"/>
      <w:marRight w:val="0"/>
      <w:marTop w:val="0"/>
      <w:marBottom w:val="0"/>
      <w:divBdr>
        <w:top w:val="none" w:sz="0" w:space="0" w:color="auto"/>
        <w:left w:val="none" w:sz="0" w:space="0" w:color="auto"/>
        <w:bottom w:val="none" w:sz="0" w:space="0" w:color="auto"/>
        <w:right w:val="none" w:sz="0" w:space="0" w:color="auto"/>
      </w:divBdr>
    </w:div>
    <w:div w:id="1351684215">
      <w:marLeft w:val="0"/>
      <w:marRight w:val="0"/>
      <w:marTop w:val="0"/>
      <w:marBottom w:val="0"/>
      <w:divBdr>
        <w:top w:val="none" w:sz="0" w:space="0" w:color="auto"/>
        <w:left w:val="none" w:sz="0" w:space="0" w:color="auto"/>
        <w:bottom w:val="none" w:sz="0" w:space="0" w:color="auto"/>
        <w:right w:val="none" w:sz="0" w:space="0" w:color="auto"/>
      </w:divBdr>
    </w:div>
    <w:div w:id="1351684216">
      <w:marLeft w:val="0"/>
      <w:marRight w:val="0"/>
      <w:marTop w:val="0"/>
      <w:marBottom w:val="0"/>
      <w:divBdr>
        <w:top w:val="none" w:sz="0" w:space="0" w:color="auto"/>
        <w:left w:val="none" w:sz="0" w:space="0" w:color="auto"/>
        <w:bottom w:val="none" w:sz="0" w:space="0" w:color="auto"/>
        <w:right w:val="none" w:sz="0" w:space="0" w:color="auto"/>
      </w:divBdr>
    </w:div>
    <w:div w:id="1351684217">
      <w:marLeft w:val="0"/>
      <w:marRight w:val="0"/>
      <w:marTop w:val="0"/>
      <w:marBottom w:val="0"/>
      <w:divBdr>
        <w:top w:val="none" w:sz="0" w:space="0" w:color="auto"/>
        <w:left w:val="none" w:sz="0" w:space="0" w:color="auto"/>
        <w:bottom w:val="none" w:sz="0" w:space="0" w:color="auto"/>
        <w:right w:val="none" w:sz="0" w:space="0" w:color="auto"/>
      </w:divBdr>
    </w:div>
    <w:div w:id="1351684218">
      <w:marLeft w:val="0"/>
      <w:marRight w:val="0"/>
      <w:marTop w:val="0"/>
      <w:marBottom w:val="0"/>
      <w:divBdr>
        <w:top w:val="none" w:sz="0" w:space="0" w:color="auto"/>
        <w:left w:val="none" w:sz="0" w:space="0" w:color="auto"/>
        <w:bottom w:val="none" w:sz="0" w:space="0" w:color="auto"/>
        <w:right w:val="none" w:sz="0" w:space="0" w:color="auto"/>
      </w:divBdr>
    </w:div>
    <w:div w:id="1351684219">
      <w:marLeft w:val="0"/>
      <w:marRight w:val="0"/>
      <w:marTop w:val="0"/>
      <w:marBottom w:val="0"/>
      <w:divBdr>
        <w:top w:val="none" w:sz="0" w:space="0" w:color="auto"/>
        <w:left w:val="none" w:sz="0" w:space="0" w:color="auto"/>
        <w:bottom w:val="none" w:sz="0" w:space="0" w:color="auto"/>
        <w:right w:val="none" w:sz="0" w:space="0" w:color="auto"/>
      </w:divBdr>
    </w:div>
    <w:div w:id="1351684220">
      <w:marLeft w:val="0"/>
      <w:marRight w:val="0"/>
      <w:marTop w:val="0"/>
      <w:marBottom w:val="0"/>
      <w:divBdr>
        <w:top w:val="none" w:sz="0" w:space="0" w:color="auto"/>
        <w:left w:val="none" w:sz="0" w:space="0" w:color="auto"/>
        <w:bottom w:val="none" w:sz="0" w:space="0" w:color="auto"/>
        <w:right w:val="none" w:sz="0" w:space="0" w:color="auto"/>
      </w:divBdr>
    </w:div>
    <w:div w:id="1351684221">
      <w:marLeft w:val="0"/>
      <w:marRight w:val="0"/>
      <w:marTop w:val="0"/>
      <w:marBottom w:val="0"/>
      <w:divBdr>
        <w:top w:val="none" w:sz="0" w:space="0" w:color="auto"/>
        <w:left w:val="none" w:sz="0" w:space="0" w:color="auto"/>
        <w:bottom w:val="none" w:sz="0" w:space="0" w:color="auto"/>
        <w:right w:val="none" w:sz="0" w:space="0" w:color="auto"/>
      </w:divBdr>
    </w:div>
    <w:div w:id="1351684222">
      <w:marLeft w:val="0"/>
      <w:marRight w:val="0"/>
      <w:marTop w:val="0"/>
      <w:marBottom w:val="0"/>
      <w:divBdr>
        <w:top w:val="none" w:sz="0" w:space="0" w:color="auto"/>
        <w:left w:val="none" w:sz="0" w:space="0" w:color="auto"/>
        <w:bottom w:val="none" w:sz="0" w:space="0" w:color="auto"/>
        <w:right w:val="none" w:sz="0" w:space="0" w:color="auto"/>
      </w:divBdr>
    </w:div>
    <w:div w:id="1351684223">
      <w:marLeft w:val="0"/>
      <w:marRight w:val="0"/>
      <w:marTop w:val="0"/>
      <w:marBottom w:val="0"/>
      <w:divBdr>
        <w:top w:val="none" w:sz="0" w:space="0" w:color="auto"/>
        <w:left w:val="none" w:sz="0" w:space="0" w:color="auto"/>
        <w:bottom w:val="none" w:sz="0" w:space="0" w:color="auto"/>
        <w:right w:val="none" w:sz="0" w:space="0" w:color="auto"/>
      </w:divBdr>
    </w:div>
    <w:div w:id="1351684224">
      <w:marLeft w:val="0"/>
      <w:marRight w:val="0"/>
      <w:marTop w:val="0"/>
      <w:marBottom w:val="0"/>
      <w:divBdr>
        <w:top w:val="none" w:sz="0" w:space="0" w:color="auto"/>
        <w:left w:val="none" w:sz="0" w:space="0" w:color="auto"/>
        <w:bottom w:val="none" w:sz="0" w:space="0" w:color="auto"/>
        <w:right w:val="none" w:sz="0" w:space="0" w:color="auto"/>
      </w:divBdr>
    </w:div>
    <w:div w:id="1351684225">
      <w:marLeft w:val="0"/>
      <w:marRight w:val="0"/>
      <w:marTop w:val="0"/>
      <w:marBottom w:val="0"/>
      <w:divBdr>
        <w:top w:val="none" w:sz="0" w:space="0" w:color="auto"/>
        <w:left w:val="none" w:sz="0" w:space="0" w:color="auto"/>
        <w:bottom w:val="none" w:sz="0" w:space="0" w:color="auto"/>
        <w:right w:val="none" w:sz="0" w:space="0" w:color="auto"/>
      </w:divBdr>
    </w:div>
    <w:div w:id="1351684226">
      <w:marLeft w:val="0"/>
      <w:marRight w:val="0"/>
      <w:marTop w:val="0"/>
      <w:marBottom w:val="0"/>
      <w:divBdr>
        <w:top w:val="none" w:sz="0" w:space="0" w:color="auto"/>
        <w:left w:val="none" w:sz="0" w:space="0" w:color="auto"/>
        <w:bottom w:val="none" w:sz="0" w:space="0" w:color="auto"/>
        <w:right w:val="none" w:sz="0" w:space="0" w:color="auto"/>
      </w:divBdr>
    </w:div>
    <w:div w:id="1351684227">
      <w:marLeft w:val="0"/>
      <w:marRight w:val="0"/>
      <w:marTop w:val="0"/>
      <w:marBottom w:val="0"/>
      <w:divBdr>
        <w:top w:val="none" w:sz="0" w:space="0" w:color="auto"/>
        <w:left w:val="none" w:sz="0" w:space="0" w:color="auto"/>
        <w:bottom w:val="none" w:sz="0" w:space="0" w:color="auto"/>
        <w:right w:val="none" w:sz="0" w:space="0" w:color="auto"/>
      </w:divBdr>
    </w:div>
    <w:div w:id="1351684228">
      <w:marLeft w:val="0"/>
      <w:marRight w:val="0"/>
      <w:marTop w:val="0"/>
      <w:marBottom w:val="0"/>
      <w:divBdr>
        <w:top w:val="none" w:sz="0" w:space="0" w:color="auto"/>
        <w:left w:val="none" w:sz="0" w:space="0" w:color="auto"/>
        <w:bottom w:val="none" w:sz="0" w:space="0" w:color="auto"/>
        <w:right w:val="none" w:sz="0" w:space="0" w:color="auto"/>
      </w:divBdr>
    </w:div>
    <w:div w:id="1351684229">
      <w:marLeft w:val="0"/>
      <w:marRight w:val="0"/>
      <w:marTop w:val="0"/>
      <w:marBottom w:val="0"/>
      <w:divBdr>
        <w:top w:val="none" w:sz="0" w:space="0" w:color="auto"/>
        <w:left w:val="none" w:sz="0" w:space="0" w:color="auto"/>
        <w:bottom w:val="none" w:sz="0" w:space="0" w:color="auto"/>
        <w:right w:val="none" w:sz="0" w:space="0" w:color="auto"/>
      </w:divBdr>
    </w:div>
    <w:div w:id="1351684230">
      <w:marLeft w:val="0"/>
      <w:marRight w:val="0"/>
      <w:marTop w:val="0"/>
      <w:marBottom w:val="0"/>
      <w:divBdr>
        <w:top w:val="none" w:sz="0" w:space="0" w:color="auto"/>
        <w:left w:val="none" w:sz="0" w:space="0" w:color="auto"/>
        <w:bottom w:val="none" w:sz="0" w:space="0" w:color="auto"/>
        <w:right w:val="none" w:sz="0" w:space="0" w:color="auto"/>
      </w:divBdr>
    </w:div>
    <w:div w:id="1351684231">
      <w:marLeft w:val="0"/>
      <w:marRight w:val="0"/>
      <w:marTop w:val="0"/>
      <w:marBottom w:val="0"/>
      <w:divBdr>
        <w:top w:val="none" w:sz="0" w:space="0" w:color="auto"/>
        <w:left w:val="none" w:sz="0" w:space="0" w:color="auto"/>
        <w:bottom w:val="none" w:sz="0" w:space="0" w:color="auto"/>
        <w:right w:val="none" w:sz="0" w:space="0" w:color="auto"/>
      </w:divBdr>
    </w:div>
    <w:div w:id="1351684232">
      <w:marLeft w:val="0"/>
      <w:marRight w:val="0"/>
      <w:marTop w:val="0"/>
      <w:marBottom w:val="0"/>
      <w:divBdr>
        <w:top w:val="none" w:sz="0" w:space="0" w:color="auto"/>
        <w:left w:val="none" w:sz="0" w:space="0" w:color="auto"/>
        <w:bottom w:val="none" w:sz="0" w:space="0" w:color="auto"/>
        <w:right w:val="none" w:sz="0" w:space="0" w:color="auto"/>
      </w:divBdr>
    </w:div>
    <w:div w:id="1351684233">
      <w:marLeft w:val="0"/>
      <w:marRight w:val="0"/>
      <w:marTop w:val="0"/>
      <w:marBottom w:val="0"/>
      <w:divBdr>
        <w:top w:val="none" w:sz="0" w:space="0" w:color="auto"/>
        <w:left w:val="none" w:sz="0" w:space="0" w:color="auto"/>
        <w:bottom w:val="none" w:sz="0" w:space="0" w:color="auto"/>
        <w:right w:val="none" w:sz="0" w:space="0" w:color="auto"/>
      </w:divBdr>
    </w:div>
    <w:div w:id="1351684234">
      <w:marLeft w:val="0"/>
      <w:marRight w:val="0"/>
      <w:marTop w:val="0"/>
      <w:marBottom w:val="0"/>
      <w:divBdr>
        <w:top w:val="none" w:sz="0" w:space="0" w:color="auto"/>
        <w:left w:val="none" w:sz="0" w:space="0" w:color="auto"/>
        <w:bottom w:val="none" w:sz="0" w:space="0" w:color="auto"/>
        <w:right w:val="none" w:sz="0" w:space="0" w:color="auto"/>
      </w:divBdr>
    </w:div>
    <w:div w:id="1351684235">
      <w:marLeft w:val="0"/>
      <w:marRight w:val="0"/>
      <w:marTop w:val="0"/>
      <w:marBottom w:val="0"/>
      <w:divBdr>
        <w:top w:val="none" w:sz="0" w:space="0" w:color="auto"/>
        <w:left w:val="none" w:sz="0" w:space="0" w:color="auto"/>
        <w:bottom w:val="none" w:sz="0" w:space="0" w:color="auto"/>
        <w:right w:val="none" w:sz="0" w:space="0" w:color="auto"/>
      </w:divBdr>
    </w:div>
    <w:div w:id="1351684236">
      <w:marLeft w:val="0"/>
      <w:marRight w:val="0"/>
      <w:marTop w:val="0"/>
      <w:marBottom w:val="0"/>
      <w:divBdr>
        <w:top w:val="none" w:sz="0" w:space="0" w:color="auto"/>
        <w:left w:val="none" w:sz="0" w:space="0" w:color="auto"/>
        <w:bottom w:val="none" w:sz="0" w:space="0" w:color="auto"/>
        <w:right w:val="none" w:sz="0" w:space="0" w:color="auto"/>
      </w:divBdr>
    </w:div>
    <w:div w:id="1351684237">
      <w:marLeft w:val="0"/>
      <w:marRight w:val="0"/>
      <w:marTop w:val="0"/>
      <w:marBottom w:val="0"/>
      <w:divBdr>
        <w:top w:val="none" w:sz="0" w:space="0" w:color="auto"/>
        <w:left w:val="none" w:sz="0" w:space="0" w:color="auto"/>
        <w:bottom w:val="none" w:sz="0" w:space="0" w:color="auto"/>
        <w:right w:val="none" w:sz="0" w:space="0" w:color="auto"/>
      </w:divBdr>
    </w:div>
    <w:div w:id="1351684238">
      <w:marLeft w:val="0"/>
      <w:marRight w:val="0"/>
      <w:marTop w:val="0"/>
      <w:marBottom w:val="0"/>
      <w:divBdr>
        <w:top w:val="none" w:sz="0" w:space="0" w:color="auto"/>
        <w:left w:val="none" w:sz="0" w:space="0" w:color="auto"/>
        <w:bottom w:val="none" w:sz="0" w:space="0" w:color="auto"/>
        <w:right w:val="none" w:sz="0" w:space="0" w:color="auto"/>
      </w:divBdr>
    </w:div>
    <w:div w:id="1351684239">
      <w:marLeft w:val="0"/>
      <w:marRight w:val="0"/>
      <w:marTop w:val="0"/>
      <w:marBottom w:val="0"/>
      <w:divBdr>
        <w:top w:val="none" w:sz="0" w:space="0" w:color="auto"/>
        <w:left w:val="none" w:sz="0" w:space="0" w:color="auto"/>
        <w:bottom w:val="none" w:sz="0" w:space="0" w:color="auto"/>
        <w:right w:val="none" w:sz="0" w:space="0" w:color="auto"/>
      </w:divBdr>
    </w:div>
    <w:div w:id="1351684240">
      <w:marLeft w:val="0"/>
      <w:marRight w:val="0"/>
      <w:marTop w:val="0"/>
      <w:marBottom w:val="0"/>
      <w:divBdr>
        <w:top w:val="none" w:sz="0" w:space="0" w:color="auto"/>
        <w:left w:val="none" w:sz="0" w:space="0" w:color="auto"/>
        <w:bottom w:val="none" w:sz="0" w:space="0" w:color="auto"/>
        <w:right w:val="none" w:sz="0" w:space="0" w:color="auto"/>
      </w:divBdr>
    </w:div>
    <w:div w:id="1351684241">
      <w:marLeft w:val="0"/>
      <w:marRight w:val="0"/>
      <w:marTop w:val="0"/>
      <w:marBottom w:val="0"/>
      <w:divBdr>
        <w:top w:val="none" w:sz="0" w:space="0" w:color="auto"/>
        <w:left w:val="none" w:sz="0" w:space="0" w:color="auto"/>
        <w:bottom w:val="none" w:sz="0" w:space="0" w:color="auto"/>
        <w:right w:val="none" w:sz="0" w:space="0" w:color="auto"/>
      </w:divBdr>
    </w:div>
    <w:div w:id="1351684242">
      <w:marLeft w:val="0"/>
      <w:marRight w:val="0"/>
      <w:marTop w:val="0"/>
      <w:marBottom w:val="0"/>
      <w:divBdr>
        <w:top w:val="none" w:sz="0" w:space="0" w:color="auto"/>
        <w:left w:val="none" w:sz="0" w:space="0" w:color="auto"/>
        <w:bottom w:val="none" w:sz="0" w:space="0" w:color="auto"/>
        <w:right w:val="none" w:sz="0" w:space="0" w:color="auto"/>
      </w:divBdr>
    </w:div>
    <w:div w:id="1351684243">
      <w:marLeft w:val="0"/>
      <w:marRight w:val="0"/>
      <w:marTop w:val="0"/>
      <w:marBottom w:val="0"/>
      <w:divBdr>
        <w:top w:val="none" w:sz="0" w:space="0" w:color="auto"/>
        <w:left w:val="none" w:sz="0" w:space="0" w:color="auto"/>
        <w:bottom w:val="none" w:sz="0" w:space="0" w:color="auto"/>
        <w:right w:val="none" w:sz="0" w:space="0" w:color="auto"/>
      </w:divBdr>
    </w:div>
    <w:div w:id="1351684244">
      <w:marLeft w:val="0"/>
      <w:marRight w:val="0"/>
      <w:marTop w:val="0"/>
      <w:marBottom w:val="0"/>
      <w:divBdr>
        <w:top w:val="none" w:sz="0" w:space="0" w:color="auto"/>
        <w:left w:val="none" w:sz="0" w:space="0" w:color="auto"/>
        <w:bottom w:val="none" w:sz="0" w:space="0" w:color="auto"/>
        <w:right w:val="none" w:sz="0" w:space="0" w:color="auto"/>
      </w:divBdr>
    </w:div>
    <w:div w:id="1351684245">
      <w:marLeft w:val="0"/>
      <w:marRight w:val="0"/>
      <w:marTop w:val="0"/>
      <w:marBottom w:val="0"/>
      <w:divBdr>
        <w:top w:val="none" w:sz="0" w:space="0" w:color="auto"/>
        <w:left w:val="none" w:sz="0" w:space="0" w:color="auto"/>
        <w:bottom w:val="none" w:sz="0" w:space="0" w:color="auto"/>
        <w:right w:val="none" w:sz="0" w:space="0" w:color="auto"/>
      </w:divBdr>
    </w:div>
    <w:div w:id="1351684246">
      <w:marLeft w:val="0"/>
      <w:marRight w:val="0"/>
      <w:marTop w:val="0"/>
      <w:marBottom w:val="0"/>
      <w:divBdr>
        <w:top w:val="none" w:sz="0" w:space="0" w:color="auto"/>
        <w:left w:val="none" w:sz="0" w:space="0" w:color="auto"/>
        <w:bottom w:val="none" w:sz="0" w:space="0" w:color="auto"/>
        <w:right w:val="none" w:sz="0" w:space="0" w:color="auto"/>
      </w:divBdr>
    </w:div>
    <w:div w:id="1351684247">
      <w:marLeft w:val="0"/>
      <w:marRight w:val="0"/>
      <w:marTop w:val="0"/>
      <w:marBottom w:val="0"/>
      <w:divBdr>
        <w:top w:val="none" w:sz="0" w:space="0" w:color="auto"/>
        <w:left w:val="none" w:sz="0" w:space="0" w:color="auto"/>
        <w:bottom w:val="none" w:sz="0" w:space="0" w:color="auto"/>
        <w:right w:val="none" w:sz="0" w:space="0" w:color="auto"/>
      </w:divBdr>
    </w:div>
    <w:div w:id="1351684248">
      <w:marLeft w:val="0"/>
      <w:marRight w:val="0"/>
      <w:marTop w:val="0"/>
      <w:marBottom w:val="0"/>
      <w:divBdr>
        <w:top w:val="none" w:sz="0" w:space="0" w:color="auto"/>
        <w:left w:val="none" w:sz="0" w:space="0" w:color="auto"/>
        <w:bottom w:val="none" w:sz="0" w:space="0" w:color="auto"/>
        <w:right w:val="none" w:sz="0" w:space="0" w:color="auto"/>
      </w:divBdr>
    </w:div>
    <w:div w:id="1351684249">
      <w:marLeft w:val="0"/>
      <w:marRight w:val="0"/>
      <w:marTop w:val="0"/>
      <w:marBottom w:val="0"/>
      <w:divBdr>
        <w:top w:val="none" w:sz="0" w:space="0" w:color="auto"/>
        <w:left w:val="none" w:sz="0" w:space="0" w:color="auto"/>
        <w:bottom w:val="none" w:sz="0" w:space="0" w:color="auto"/>
        <w:right w:val="none" w:sz="0" w:space="0" w:color="auto"/>
      </w:divBdr>
    </w:div>
    <w:div w:id="1351684250">
      <w:marLeft w:val="0"/>
      <w:marRight w:val="0"/>
      <w:marTop w:val="0"/>
      <w:marBottom w:val="0"/>
      <w:divBdr>
        <w:top w:val="none" w:sz="0" w:space="0" w:color="auto"/>
        <w:left w:val="none" w:sz="0" w:space="0" w:color="auto"/>
        <w:bottom w:val="none" w:sz="0" w:space="0" w:color="auto"/>
        <w:right w:val="none" w:sz="0" w:space="0" w:color="auto"/>
      </w:divBdr>
    </w:div>
    <w:div w:id="1351684251">
      <w:marLeft w:val="0"/>
      <w:marRight w:val="0"/>
      <w:marTop w:val="0"/>
      <w:marBottom w:val="0"/>
      <w:divBdr>
        <w:top w:val="none" w:sz="0" w:space="0" w:color="auto"/>
        <w:left w:val="none" w:sz="0" w:space="0" w:color="auto"/>
        <w:bottom w:val="none" w:sz="0" w:space="0" w:color="auto"/>
        <w:right w:val="none" w:sz="0" w:space="0" w:color="auto"/>
      </w:divBdr>
    </w:div>
    <w:div w:id="1351684252">
      <w:marLeft w:val="0"/>
      <w:marRight w:val="0"/>
      <w:marTop w:val="0"/>
      <w:marBottom w:val="0"/>
      <w:divBdr>
        <w:top w:val="none" w:sz="0" w:space="0" w:color="auto"/>
        <w:left w:val="none" w:sz="0" w:space="0" w:color="auto"/>
        <w:bottom w:val="none" w:sz="0" w:space="0" w:color="auto"/>
        <w:right w:val="none" w:sz="0" w:space="0" w:color="auto"/>
      </w:divBdr>
    </w:div>
    <w:div w:id="1351684253">
      <w:marLeft w:val="0"/>
      <w:marRight w:val="0"/>
      <w:marTop w:val="0"/>
      <w:marBottom w:val="0"/>
      <w:divBdr>
        <w:top w:val="none" w:sz="0" w:space="0" w:color="auto"/>
        <w:left w:val="none" w:sz="0" w:space="0" w:color="auto"/>
        <w:bottom w:val="none" w:sz="0" w:space="0" w:color="auto"/>
        <w:right w:val="none" w:sz="0" w:space="0" w:color="auto"/>
      </w:divBdr>
    </w:div>
    <w:div w:id="1351684254">
      <w:marLeft w:val="0"/>
      <w:marRight w:val="0"/>
      <w:marTop w:val="0"/>
      <w:marBottom w:val="0"/>
      <w:divBdr>
        <w:top w:val="none" w:sz="0" w:space="0" w:color="auto"/>
        <w:left w:val="none" w:sz="0" w:space="0" w:color="auto"/>
        <w:bottom w:val="none" w:sz="0" w:space="0" w:color="auto"/>
        <w:right w:val="none" w:sz="0" w:space="0" w:color="auto"/>
      </w:divBdr>
    </w:div>
    <w:div w:id="1351684255">
      <w:marLeft w:val="0"/>
      <w:marRight w:val="0"/>
      <w:marTop w:val="0"/>
      <w:marBottom w:val="0"/>
      <w:divBdr>
        <w:top w:val="none" w:sz="0" w:space="0" w:color="auto"/>
        <w:left w:val="none" w:sz="0" w:space="0" w:color="auto"/>
        <w:bottom w:val="none" w:sz="0" w:space="0" w:color="auto"/>
        <w:right w:val="none" w:sz="0" w:space="0" w:color="auto"/>
      </w:divBdr>
    </w:div>
    <w:div w:id="1351684256">
      <w:marLeft w:val="0"/>
      <w:marRight w:val="0"/>
      <w:marTop w:val="0"/>
      <w:marBottom w:val="0"/>
      <w:divBdr>
        <w:top w:val="none" w:sz="0" w:space="0" w:color="auto"/>
        <w:left w:val="none" w:sz="0" w:space="0" w:color="auto"/>
        <w:bottom w:val="none" w:sz="0" w:space="0" w:color="auto"/>
        <w:right w:val="none" w:sz="0" w:space="0" w:color="auto"/>
      </w:divBdr>
    </w:div>
    <w:div w:id="1351684257">
      <w:marLeft w:val="0"/>
      <w:marRight w:val="0"/>
      <w:marTop w:val="0"/>
      <w:marBottom w:val="0"/>
      <w:divBdr>
        <w:top w:val="none" w:sz="0" w:space="0" w:color="auto"/>
        <w:left w:val="none" w:sz="0" w:space="0" w:color="auto"/>
        <w:bottom w:val="none" w:sz="0" w:space="0" w:color="auto"/>
        <w:right w:val="none" w:sz="0" w:space="0" w:color="auto"/>
      </w:divBdr>
    </w:div>
    <w:div w:id="1351684258">
      <w:marLeft w:val="0"/>
      <w:marRight w:val="0"/>
      <w:marTop w:val="0"/>
      <w:marBottom w:val="0"/>
      <w:divBdr>
        <w:top w:val="none" w:sz="0" w:space="0" w:color="auto"/>
        <w:left w:val="none" w:sz="0" w:space="0" w:color="auto"/>
        <w:bottom w:val="none" w:sz="0" w:space="0" w:color="auto"/>
        <w:right w:val="none" w:sz="0" w:space="0" w:color="auto"/>
      </w:divBdr>
    </w:div>
    <w:div w:id="1351684259">
      <w:marLeft w:val="0"/>
      <w:marRight w:val="0"/>
      <w:marTop w:val="0"/>
      <w:marBottom w:val="0"/>
      <w:divBdr>
        <w:top w:val="none" w:sz="0" w:space="0" w:color="auto"/>
        <w:left w:val="none" w:sz="0" w:space="0" w:color="auto"/>
        <w:bottom w:val="none" w:sz="0" w:space="0" w:color="auto"/>
        <w:right w:val="none" w:sz="0" w:space="0" w:color="auto"/>
      </w:divBdr>
    </w:div>
    <w:div w:id="1351684260">
      <w:marLeft w:val="0"/>
      <w:marRight w:val="0"/>
      <w:marTop w:val="0"/>
      <w:marBottom w:val="0"/>
      <w:divBdr>
        <w:top w:val="none" w:sz="0" w:space="0" w:color="auto"/>
        <w:left w:val="none" w:sz="0" w:space="0" w:color="auto"/>
        <w:bottom w:val="none" w:sz="0" w:space="0" w:color="auto"/>
        <w:right w:val="none" w:sz="0" w:space="0" w:color="auto"/>
      </w:divBdr>
    </w:div>
    <w:div w:id="1351684261">
      <w:marLeft w:val="0"/>
      <w:marRight w:val="0"/>
      <w:marTop w:val="0"/>
      <w:marBottom w:val="0"/>
      <w:divBdr>
        <w:top w:val="none" w:sz="0" w:space="0" w:color="auto"/>
        <w:left w:val="none" w:sz="0" w:space="0" w:color="auto"/>
        <w:bottom w:val="none" w:sz="0" w:space="0" w:color="auto"/>
        <w:right w:val="none" w:sz="0" w:space="0" w:color="auto"/>
      </w:divBdr>
    </w:div>
    <w:div w:id="1351684262">
      <w:marLeft w:val="0"/>
      <w:marRight w:val="0"/>
      <w:marTop w:val="0"/>
      <w:marBottom w:val="0"/>
      <w:divBdr>
        <w:top w:val="none" w:sz="0" w:space="0" w:color="auto"/>
        <w:left w:val="none" w:sz="0" w:space="0" w:color="auto"/>
        <w:bottom w:val="none" w:sz="0" w:space="0" w:color="auto"/>
        <w:right w:val="none" w:sz="0" w:space="0" w:color="auto"/>
      </w:divBdr>
    </w:div>
    <w:div w:id="1351684263">
      <w:marLeft w:val="0"/>
      <w:marRight w:val="0"/>
      <w:marTop w:val="0"/>
      <w:marBottom w:val="0"/>
      <w:divBdr>
        <w:top w:val="none" w:sz="0" w:space="0" w:color="auto"/>
        <w:left w:val="none" w:sz="0" w:space="0" w:color="auto"/>
        <w:bottom w:val="none" w:sz="0" w:space="0" w:color="auto"/>
        <w:right w:val="none" w:sz="0" w:space="0" w:color="auto"/>
      </w:divBdr>
    </w:div>
    <w:div w:id="1351684264">
      <w:marLeft w:val="0"/>
      <w:marRight w:val="0"/>
      <w:marTop w:val="0"/>
      <w:marBottom w:val="0"/>
      <w:divBdr>
        <w:top w:val="none" w:sz="0" w:space="0" w:color="auto"/>
        <w:left w:val="none" w:sz="0" w:space="0" w:color="auto"/>
        <w:bottom w:val="none" w:sz="0" w:space="0" w:color="auto"/>
        <w:right w:val="none" w:sz="0" w:space="0" w:color="auto"/>
      </w:divBdr>
    </w:div>
    <w:div w:id="1351684265">
      <w:marLeft w:val="0"/>
      <w:marRight w:val="0"/>
      <w:marTop w:val="0"/>
      <w:marBottom w:val="0"/>
      <w:divBdr>
        <w:top w:val="none" w:sz="0" w:space="0" w:color="auto"/>
        <w:left w:val="none" w:sz="0" w:space="0" w:color="auto"/>
        <w:bottom w:val="none" w:sz="0" w:space="0" w:color="auto"/>
        <w:right w:val="none" w:sz="0" w:space="0" w:color="auto"/>
      </w:divBdr>
    </w:div>
    <w:div w:id="1351684266">
      <w:marLeft w:val="0"/>
      <w:marRight w:val="0"/>
      <w:marTop w:val="0"/>
      <w:marBottom w:val="0"/>
      <w:divBdr>
        <w:top w:val="none" w:sz="0" w:space="0" w:color="auto"/>
        <w:left w:val="none" w:sz="0" w:space="0" w:color="auto"/>
        <w:bottom w:val="none" w:sz="0" w:space="0" w:color="auto"/>
        <w:right w:val="none" w:sz="0" w:space="0" w:color="auto"/>
      </w:divBdr>
    </w:div>
    <w:div w:id="1351684267">
      <w:marLeft w:val="0"/>
      <w:marRight w:val="0"/>
      <w:marTop w:val="0"/>
      <w:marBottom w:val="0"/>
      <w:divBdr>
        <w:top w:val="none" w:sz="0" w:space="0" w:color="auto"/>
        <w:left w:val="none" w:sz="0" w:space="0" w:color="auto"/>
        <w:bottom w:val="none" w:sz="0" w:space="0" w:color="auto"/>
        <w:right w:val="none" w:sz="0" w:space="0" w:color="auto"/>
      </w:divBdr>
    </w:div>
    <w:div w:id="1351684268">
      <w:marLeft w:val="0"/>
      <w:marRight w:val="0"/>
      <w:marTop w:val="0"/>
      <w:marBottom w:val="0"/>
      <w:divBdr>
        <w:top w:val="none" w:sz="0" w:space="0" w:color="auto"/>
        <w:left w:val="none" w:sz="0" w:space="0" w:color="auto"/>
        <w:bottom w:val="none" w:sz="0" w:space="0" w:color="auto"/>
        <w:right w:val="none" w:sz="0" w:space="0" w:color="auto"/>
      </w:divBdr>
    </w:div>
    <w:div w:id="1351684269">
      <w:marLeft w:val="0"/>
      <w:marRight w:val="0"/>
      <w:marTop w:val="0"/>
      <w:marBottom w:val="0"/>
      <w:divBdr>
        <w:top w:val="none" w:sz="0" w:space="0" w:color="auto"/>
        <w:left w:val="none" w:sz="0" w:space="0" w:color="auto"/>
        <w:bottom w:val="none" w:sz="0" w:space="0" w:color="auto"/>
        <w:right w:val="none" w:sz="0" w:space="0" w:color="auto"/>
      </w:divBdr>
    </w:div>
    <w:div w:id="1351684270">
      <w:marLeft w:val="0"/>
      <w:marRight w:val="0"/>
      <w:marTop w:val="0"/>
      <w:marBottom w:val="0"/>
      <w:divBdr>
        <w:top w:val="none" w:sz="0" w:space="0" w:color="auto"/>
        <w:left w:val="none" w:sz="0" w:space="0" w:color="auto"/>
        <w:bottom w:val="none" w:sz="0" w:space="0" w:color="auto"/>
        <w:right w:val="none" w:sz="0" w:space="0" w:color="auto"/>
      </w:divBdr>
    </w:div>
    <w:div w:id="1351684271">
      <w:marLeft w:val="0"/>
      <w:marRight w:val="0"/>
      <w:marTop w:val="0"/>
      <w:marBottom w:val="0"/>
      <w:divBdr>
        <w:top w:val="none" w:sz="0" w:space="0" w:color="auto"/>
        <w:left w:val="none" w:sz="0" w:space="0" w:color="auto"/>
        <w:bottom w:val="none" w:sz="0" w:space="0" w:color="auto"/>
        <w:right w:val="none" w:sz="0" w:space="0" w:color="auto"/>
      </w:divBdr>
    </w:div>
    <w:div w:id="1351684272">
      <w:marLeft w:val="0"/>
      <w:marRight w:val="0"/>
      <w:marTop w:val="0"/>
      <w:marBottom w:val="0"/>
      <w:divBdr>
        <w:top w:val="none" w:sz="0" w:space="0" w:color="auto"/>
        <w:left w:val="none" w:sz="0" w:space="0" w:color="auto"/>
        <w:bottom w:val="none" w:sz="0" w:space="0" w:color="auto"/>
        <w:right w:val="none" w:sz="0" w:space="0" w:color="auto"/>
      </w:divBdr>
    </w:div>
    <w:div w:id="1351684273">
      <w:marLeft w:val="0"/>
      <w:marRight w:val="0"/>
      <w:marTop w:val="0"/>
      <w:marBottom w:val="0"/>
      <w:divBdr>
        <w:top w:val="none" w:sz="0" w:space="0" w:color="auto"/>
        <w:left w:val="none" w:sz="0" w:space="0" w:color="auto"/>
        <w:bottom w:val="none" w:sz="0" w:space="0" w:color="auto"/>
        <w:right w:val="none" w:sz="0" w:space="0" w:color="auto"/>
      </w:divBdr>
    </w:div>
    <w:div w:id="1351684274">
      <w:marLeft w:val="0"/>
      <w:marRight w:val="0"/>
      <w:marTop w:val="0"/>
      <w:marBottom w:val="0"/>
      <w:divBdr>
        <w:top w:val="none" w:sz="0" w:space="0" w:color="auto"/>
        <w:left w:val="none" w:sz="0" w:space="0" w:color="auto"/>
        <w:bottom w:val="none" w:sz="0" w:space="0" w:color="auto"/>
        <w:right w:val="none" w:sz="0" w:space="0" w:color="auto"/>
      </w:divBdr>
    </w:div>
    <w:div w:id="1351684275">
      <w:marLeft w:val="0"/>
      <w:marRight w:val="0"/>
      <w:marTop w:val="0"/>
      <w:marBottom w:val="0"/>
      <w:divBdr>
        <w:top w:val="none" w:sz="0" w:space="0" w:color="auto"/>
        <w:left w:val="none" w:sz="0" w:space="0" w:color="auto"/>
        <w:bottom w:val="none" w:sz="0" w:space="0" w:color="auto"/>
        <w:right w:val="none" w:sz="0" w:space="0" w:color="auto"/>
      </w:divBdr>
    </w:div>
    <w:div w:id="1351684278">
      <w:marLeft w:val="0"/>
      <w:marRight w:val="0"/>
      <w:marTop w:val="0"/>
      <w:marBottom w:val="0"/>
      <w:divBdr>
        <w:top w:val="none" w:sz="0" w:space="0" w:color="auto"/>
        <w:left w:val="none" w:sz="0" w:space="0" w:color="auto"/>
        <w:bottom w:val="none" w:sz="0" w:space="0" w:color="auto"/>
        <w:right w:val="none" w:sz="0" w:space="0" w:color="auto"/>
      </w:divBdr>
    </w:div>
    <w:div w:id="1351684279">
      <w:marLeft w:val="0"/>
      <w:marRight w:val="0"/>
      <w:marTop w:val="0"/>
      <w:marBottom w:val="0"/>
      <w:divBdr>
        <w:top w:val="none" w:sz="0" w:space="0" w:color="auto"/>
        <w:left w:val="none" w:sz="0" w:space="0" w:color="auto"/>
        <w:bottom w:val="none" w:sz="0" w:space="0" w:color="auto"/>
        <w:right w:val="none" w:sz="0" w:space="0" w:color="auto"/>
      </w:divBdr>
    </w:div>
    <w:div w:id="1351684280">
      <w:marLeft w:val="0"/>
      <w:marRight w:val="0"/>
      <w:marTop w:val="0"/>
      <w:marBottom w:val="0"/>
      <w:divBdr>
        <w:top w:val="none" w:sz="0" w:space="0" w:color="auto"/>
        <w:left w:val="none" w:sz="0" w:space="0" w:color="auto"/>
        <w:bottom w:val="none" w:sz="0" w:space="0" w:color="auto"/>
        <w:right w:val="none" w:sz="0" w:space="0" w:color="auto"/>
      </w:divBdr>
    </w:div>
    <w:div w:id="1351684281">
      <w:marLeft w:val="0"/>
      <w:marRight w:val="0"/>
      <w:marTop w:val="0"/>
      <w:marBottom w:val="0"/>
      <w:divBdr>
        <w:top w:val="none" w:sz="0" w:space="0" w:color="auto"/>
        <w:left w:val="none" w:sz="0" w:space="0" w:color="auto"/>
        <w:bottom w:val="none" w:sz="0" w:space="0" w:color="auto"/>
        <w:right w:val="none" w:sz="0" w:space="0" w:color="auto"/>
      </w:divBdr>
    </w:div>
    <w:div w:id="1351684282">
      <w:marLeft w:val="0"/>
      <w:marRight w:val="0"/>
      <w:marTop w:val="0"/>
      <w:marBottom w:val="0"/>
      <w:divBdr>
        <w:top w:val="none" w:sz="0" w:space="0" w:color="auto"/>
        <w:left w:val="none" w:sz="0" w:space="0" w:color="auto"/>
        <w:bottom w:val="none" w:sz="0" w:space="0" w:color="auto"/>
        <w:right w:val="none" w:sz="0" w:space="0" w:color="auto"/>
      </w:divBdr>
    </w:div>
    <w:div w:id="1351684283">
      <w:marLeft w:val="0"/>
      <w:marRight w:val="0"/>
      <w:marTop w:val="0"/>
      <w:marBottom w:val="0"/>
      <w:divBdr>
        <w:top w:val="none" w:sz="0" w:space="0" w:color="auto"/>
        <w:left w:val="none" w:sz="0" w:space="0" w:color="auto"/>
        <w:bottom w:val="none" w:sz="0" w:space="0" w:color="auto"/>
        <w:right w:val="none" w:sz="0" w:space="0" w:color="auto"/>
      </w:divBdr>
    </w:div>
    <w:div w:id="1351684284">
      <w:marLeft w:val="0"/>
      <w:marRight w:val="0"/>
      <w:marTop w:val="0"/>
      <w:marBottom w:val="0"/>
      <w:divBdr>
        <w:top w:val="none" w:sz="0" w:space="0" w:color="auto"/>
        <w:left w:val="none" w:sz="0" w:space="0" w:color="auto"/>
        <w:bottom w:val="none" w:sz="0" w:space="0" w:color="auto"/>
        <w:right w:val="none" w:sz="0" w:space="0" w:color="auto"/>
      </w:divBdr>
    </w:div>
    <w:div w:id="1351684285">
      <w:marLeft w:val="0"/>
      <w:marRight w:val="0"/>
      <w:marTop w:val="0"/>
      <w:marBottom w:val="0"/>
      <w:divBdr>
        <w:top w:val="none" w:sz="0" w:space="0" w:color="auto"/>
        <w:left w:val="none" w:sz="0" w:space="0" w:color="auto"/>
        <w:bottom w:val="none" w:sz="0" w:space="0" w:color="auto"/>
        <w:right w:val="none" w:sz="0" w:space="0" w:color="auto"/>
      </w:divBdr>
    </w:div>
    <w:div w:id="1351684286">
      <w:marLeft w:val="0"/>
      <w:marRight w:val="0"/>
      <w:marTop w:val="0"/>
      <w:marBottom w:val="0"/>
      <w:divBdr>
        <w:top w:val="none" w:sz="0" w:space="0" w:color="auto"/>
        <w:left w:val="none" w:sz="0" w:space="0" w:color="auto"/>
        <w:bottom w:val="none" w:sz="0" w:space="0" w:color="auto"/>
        <w:right w:val="none" w:sz="0" w:space="0" w:color="auto"/>
      </w:divBdr>
    </w:div>
    <w:div w:id="1351684287">
      <w:marLeft w:val="0"/>
      <w:marRight w:val="0"/>
      <w:marTop w:val="0"/>
      <w:marBottom w:val="0"/>
      <w:divBdr>
        <w:top w:val="none" w:sz="0" w:space="0" w:color="auto"/>
        <w:left w:val="none" w:sz="0" w:space="0" w:color="auto"/>
        <w:bottom w:val="none" w:sz="0" w:space="0" w:color="auto"/>
        <w:right w:val="none" w:sz="0" w:space="0" w:color="auto"/>
      </w:divBdr>
    </w:div>
    <w:div w:id="1351684288">
      <w:marLeft w:val="0"/>
      <w:marRight w:val="0"/>
      <w:marTop w:val="0"/>
      <w:marBottom w:val="0"/>
      <w:divBdr>
        <w:top w:val="none" w:sz="0" w:space="0" w:color="auto"/>
        <w:left w:val="none" w:sz="0" w:space="0" w:color="auto"/>
        <w:bottom w:val="none" w:sz="0" w:space="0" w:color="auto"/>
        <w:right w:val="none" w:sz="0" w:space="0" w:color="auto"/>
      </w:divBdr>
    </w:div>
    <w:div w:id="1351684289">
      <w:marLeft w:val="0"/>
      <w:marRight w:val="0"/>
      <w:marTop w:val="0"/>
      <w:marBottom w:val="0"/>
      <w:divBdr>
        <w:top w:val="none" w:sz="0" w:space="0" w:color="auto"/>
        <w:left w:val="none" w:sz="0" w:space="0" w:color="auto"/>
        <w:bottom w:val="none" w:sz="0" w:space="0" w:color="auto"/>
        <w:right w:val="none" w:sz="0" w:space="0" w:color="auto"/>
      </w:divBdr>
    </w:div>
    <w:div w:id="1351684290">
      <w:marLeft w:val="0"/>
      <w:marRight w:val="0"/>
      <w:marTop w:val="0"/>
      <w:marBottom w:val="0"/>
      <w:divBdr>
        <w:top w:val="none" w:sz="0" w:space="0" w:color="auto"/>
        <w:left w:val="none" w:sz="0" w:space="0" w:color="auto"/>
        <w:bottom w:val="none" w:sz="0" w:space="0" w:color="auto"/>
        <w:right w:val="none" w:sz="0" w:space="0" w:color="auto"/>
      </w:divBdr>
    </w:div>
    <w:div w:id="1351684291">
      <w:marLeft w:val="0"/>
      <w:marRight w:val="0"/>
      <w:marTop w:val="0"/>
      <w:marBottom w:val="0"/>
      <w:divBdr>
        <w:top w:val="none" w:sz="0" w:space="0" w:color="auto"/>
        <w:left w:val="none" w:sz="0" w:space="0" w:color="auto"/>
        <w:bottom w:val="none" w:sz="0" w:space="0" w:color="auto"/>
        <w:right w:val="none" w:sz="0" w:space="0" w:color="auto"/>
      </w:divBdr>
    </w:div>
    <w:div w:id="1351684292">
      <w:marLeft w:val="0"/>
      <w:marRight w:val="0"/>
      <w:marTop w:val="0"/>
      <w:marBottom w:val="0"/>
      <w:divBdr>
        <w:top w:val="none" w:sz="0" w:space="0" w:color="auto"/>
        <w:left w:val="none" w:sz="0" w:space="0" w:color="auto"/>
        <w:bottom w:val="none" w:sz="0" w:space="0" w:color="auto"/>
        <w:right w:val="none" w:sz="0" w:space="0" w:color="auto"/>
      </w:divBdr>
    </w:div>
    <w:div w:id="1351684293">
      <w:marLeft w:val="0"/>
      <w:marRight w:val="0"/>
      <w:marTop w:val="0"/>
      <w:marBottom w:val="0"/>
      <w:divBdr>
        <w:top w:val="none" w:sz="0" w:space="0" w:color="auto"/>
        <w:left w:val="none" w:sz="0" w:space="0" w:color="auto"/>
        <w:bottom w:val="none" w:sz="0" w:space="0" w:color="auto"/>
        <w:right w:val="none" w:sz="0" w:space="0" w:color="auto"/>
      </w:divBdr>
    </w:div>
    <w:div w:id="1351684294">
      <w:marLeft w:val="0"/>
      <w:marRight w:val="0"/>
      <w:marTop w:val="0"/>
      <w:marBottom w:val="0"/>
      <w:divBdr>
        <w:top w:val="none" w:sz="0" w:space="0" w:color="auto"/>
        <w:left w:val="none" w:sz="0" w:space="0" w:color="auto"/>
        <w:bottom w:val="none" w:sz="0" w:space="0" w:color="auto"/>
        <w:right w:val="none" w:sz="0" w:space="0" w:color="auto"/>
      </w:divBdr>
    </w:div>
    <w:div w:id="1351684295">
      <w:marLeft w:val="0"/>
      <w:marRight w:val="0"/>
      <w:marTop w:val="0"/>
      <w:marBottom w:val="0"/>
      <w:divBdr>
        <w:top w:val="none" w:sz="0" w:space="0" w:color="auto"/>
        <w:left w:val="none" w:sz="0" w:space="0" w:color="auto"/>
        <w:bottom w:val="none" w:sz="0" w:space="0" w:color="auto"/>
        <w:right w:val="none" w:sz="0" w:space="0" w:color="auto"/>
      </w:divBdr>
    </w:div>
    <w:div w:id="1351684296">
      <w:marLeft w:val="0"/>
      <w:marRight w:val="0"/>
      <w:marTop w:val="0"/>
      <w:marBottom w:val="0"/>
      <w:divBdr>
        <w:top w:val="none" w:sz="0" w:space="0" w:color="auto"/>
        <w:left w:val="none" w:sz="0" w:space="0" w:color="auto"/>
        <w:bottom w:val="none" w:sz="0" w:space="0" w:color="auto"/>
        <w:right w:val="none" w:sz="0" w:space="0" w:color="auto"/>
      </w:divBdr>
    </w:div>
    <w:div w:id="1351684297">
      <w:marLeft w:val="0"/>
      <w:marRight w:val="0"/>
      <w:marTop w:val="0"/>
      <w:marBottom w:val="0"/>
      <w:divBdr>
        <w:top w:val="none" w:sz="0" w:space="0" w:color="auto"/>
        <w:left w:val="none" w:sz="0" w:space="0" w:color="auto"/>
        <w:bottom w:val="none" w:sz="0" w:space="0" w:color="auto"/>
        <w:right w:val="none" w:sz="0" w:space="0" w:color="auto"/>
      </w:divBdr>
    </w:div>
    <w:div w:id="1351684298">
      <w:marLeft w:val="0"/>
      <w:marRight w:val="0"/>
      <w:marTop w:val="0"/>
      <w:marBottom w:val="0"/>
      <w:divBdr>
        <w:top w:val="none" w:sz="0" w:space="0" w:color="auto"/>
        <w:left w:val="none" w:sz="0" w:space="0" w:color="auto"/>
        <w:bottom w:val="none" w:sz="0" w:space="0" w:color="auto"/>
        <w:right w:val="none" w:sz="0" w:space="0" w:color="auto"/>
      </w:divBdr>
    </w:div>
    <w:div w:id="1351684299">
      <w:marLeft w:val="0"/>
      <w:marRight w:val="0"/>
      <w:marTop w:val="0"/>
      <w:marBottom w:val="0"/>
      <w:divBdr>
        <w:top w:val="none" w:sz="0" w:space="0" w:color="auto"/>
        <w:left w:val="none" w:sz="0" w:space="0" w:color="auto"/>
        <w:bottom w:val="none" w:sz="0" w:space="0" w:color="auto"/>
        <w:right w:val="none" w:sz="0" w:space="0" w:color="auto"/>
      </w:divBdr>
    </w:div>
    <w:div w:id="1351684300">
      <w:marLeft w:val="0"/>
      <w:marRight w:val="0"/>
      <w:marTop w:val="0"/>
      <w:marBottom w:val="0"/>
      <w:divBdr>
        <w:top w:val="none" w:sz="0" w:space="0" w:color="auto"/>
        <w:left w:val="none" w:sz="0" w:space="0" w:color="auto"/>
        <w:bottom w:val="none" w:sz="0" w:space="0" w:color="auto"/>
        <w:right w:val="none" w:sz="0" w:space="0" w:color="auto"/>
      </w:divBdr>
    </w:div>
    <w:div w:id="1351684301">
      <w:marLeft w:val="0"/>
      <w:marRight w:val="0"/>
      <w:marTop w:val="0"/>
      <w:marBottom w:val="0"/>
      <w:divBdr>
        <w:top w:val="none" w:sz="0" w:space="0" w:color="auto"/>
        <w:left w:val="none" w:sz="0" w:space="0" w:color="auto"/>
        <w:bottom w:val="none" w:sz="0" w:space="0" w:color="auto"/>
        <w:right w:val="none" w:sz="0" w:space="0" w:color="auto"/>
      </w:divBdr>
    </w:div>
    <w:div w:id="1351684302">
      <w:marLeft w:val="0"/>
      <w:marRight w:val="0"/>
      <w:marTop w:val="0"/>
      <w:marBottom w:val="0"/>
      <w:divBdr>
        <w:top w:val="none" w:sz="0" w:space="0" w:color="auto"/>
        <w:left w:val="none" w:sz="0" w:space="0" w:color="auto"/>
        <w:bottom w:val="none" w:sz="0" w:space="0" w:color="auto"/>
        <w:right w:val="none" w:sz="0" w:space="0" w:color="auto"/>
      </w:divBdr>
    </w:div>
    <w:div w:id="1351684303">
      <w:marLeft w:val="0"/>
      <w:marRight w:val="0"/>
      <w:marTop w:val="0"/>
      <w:marBottom w:val="0"/>
      <w:divBdr>
        <w:top w:val="none" w:sz="0" w:space="0" w:color="auto"/>
        <w:left w:val="none" w:sz="0" w:space="0" w:color="auto"/>
        <w:bottom w:val="none" w:sz="0" w:space="0" w:color="auto"/>
        <w:right w:val="none" w:sz="0" w:space="0" w:color="auto"/>
      </w:divBdr>
    </w:div>
    <w:div w:id="1351684305">
      <w:marLeft w:val="0"/>
      <w:marRight w:val="0"/>
      <w:marTop w:val="0"/>
      <w:marBottom w:val="0"/>
      <w:divBdr>
        <w:top w:val="none" w:sz="0" w:space="0" w:color="auto"/>
        <w:left w:val="none" w:sz="0" w:space="0" w:color="auto"/>
        <w:bottom w:val="none" w:sz="0" w:space="0" w:color="auto"/>
        <w:right w:val="none" w:sz="0" w:space="0" w:color="auto"/>
      </w:divBdr>
    </w:div>
    <w:div w:id="1351684306">
      <w:marLeft w:val="0"/>
      <w:marRight w:val="0"/>
      <w:marTop w:val="0"/>
      <w:marBottom w:val="0"/>
      <w:divBdr>
        <w:top w:val="none" w:sz="0" w:space="0" w:color="auto"/>
        <w:left w:val="none" w:sz="0" w:space="0" w:color="auto"/>
        <w:bottom w:val="none" w:sz="0" w:space="0" w:color="auto"/>
        <w:right w:val="none" w:sz="0" w:space="0" w:color="auto"/>
      </w:divBdr>
    </w:div>
    <w:div w:id="1351684307">
      <w:marLeft w:val="0"/>
      <w:marRight w:val="0"/>
      <w:marTop w:val="0"/>
      <w:marBottom w:val="0"/>
      <w:divBdr>
        <w:top w:val="none" w:sz="0" w:space="0" w:color="auto"/>
        <w:left w:val="none" w:sz="0" w:space="0" w:color="auto"/>
        <w:bottom w:val="none" w:sz="0" w:space="0" w:color="auto"/>
        <w:right w:val="none" w:sz="0" w:space="0" w:color="auto"/>
      </w:divBdr>
    </w:div>
    <w:div w:id="1351684308">
      <w:marLeft w:val="0"/>
      <w:marRight w:val="0"/>
      <w:marTop w:val="0"/>
      <w:marBottom w:val="0"/>
      <w:divBdr>
        <w:top w:val="none" w:sz="0" w:space="0" w:color="auto"/>
        <w:left w:val="none" w:sz="0" w:space="0" w:color="auto"/>
        <w:bottom w:val="none" w:sz="0" w:space="0" w:color="auto"/>
        <w:right w:val="none" w:sz="0" w:space="0" w:color="auto"/>
      </w:divBdr>
    </w:div>
    <w:div w:id="1351684309">
      <w:marLeft w:val="0"/>
      <w:marRight w:val="0"/>
      <w:marTop w:val="0"/>
      <w:marBottom w:val="0"/>
      <w:divBdr>
        <w:top w:val="none" w:sz="0" w:space="0" w:color="auto"/>
        <w:left w:val="none" w:sz="0" w:space="0" w:color="auto"/>
        <w:bottom w:val="none" w:sz="0" w:space="0" w:color="auto"/>
        <w:right w:val="none" w:sz="0" w:space="0" w:color="auto"/>
      </w:divBdr>
    </w:div>
    <w:div w:id="1351684310">
      <w:marLeft w:val="0"/>
      <w:marRight w:val="0"/>
      <w:marTop w:val="0"/>
      <w:marBottom w:val="0"/>
      <w:divBdr>
        <w:top w:val="none" w:sz="0" w:space="0" w:color="auto"/>
        <w:left w:val="none" w:sz="0" w:space="0" w:color="auto"/>
        <w:bottom w:val="none" w:sz="0" w:space="0" w:color="auto"/>
        <w:right w:val="none" w:sz="0" w:space="0" w:color="auto"/>
      </w:divBdr>
    </w:div>
    <w:div w:id="1351684311">
      <w:marLeft w:val="0"/>
      <w:marRight w:val="0"/>
      <w:marTop w:val="0"/>
      <w:marBottom w:val="0"/>
      <w:divBdr>
        <w:top w:val="none" w:sz="0" w:space="0" w:color="auto"/>
        <w:left w:val="none" w:sz="0" w:space="0" w:color="auto"/>
        <w:bottom w:val="none" w:sz="0" w:space="0" w:color="auto"/>
        <w:right w:val="none" w:sz="0" w:space="0" w:color="auto"/>
      </w:divBdr>
    </w:div>
    <w:div w:id="1351684312">
      <w:marLeft w:val="0"/>
      <w:marRight w:val="0"/>
      <w:marTop w:val="0"/>
      <w:marBottom w:val="0"/>
      <w:divBdr>
        <w:top w:val="none" w:sz="0" w:space="0" w:color="auto"/>
        <w:left w:val="none" w:sz="0" w:space="0" w:color="auto"/>
        <w:bottom w:val="none" w:sz="0" w:space="0" w:color="auto"/>
        <w:right w:val="none" w:sz="0" w:space="0" w:color="auto"/>
      </w:divBdr>
    </w:div>
    <w:div w:id="1351684313">
      <w:marLeft w:val="0"/>
      <w:marRight w:val="0"/>
      <w:marTop w:val="0"/>
      <w:marBottom w:val="0"/>
      <w:divBdr>
        <w:top w:val="none" w:sz="0" w:space="0" w:color="auto"/>
        <w:left w:val="none" w:sz="0" w:space="0" w:color="auto"/>
        <w:bottom w:val="none" w:sz="0" w:space="0" w:color="auto"/>
        <w:right w:val="none" w:sz="0" w:space="0" w:color="auto"/>
      </w:divBdr>
    </w:div>
    <w:div w:id="1351684314">
      <w:marLeft w:val="0"/>
      <w:marRight w:val="0"/>
      <w:marTop w:val="0"/>
      <w:marBottom w:val="0"/>
      <w:divBdr>
        <w:top w:val="none" w:sz="0" w:space="0" w:color="auto"/>
        <w:left w:val="none" w:sz="0" w:space="0" w:color="auto"/>
        <w:bottom w:val="none" w:sz="0" w:space="0" w:color="auto"/>
        <w:right w:val="none" w:sz="0" w:space="0" w:color="auto"/>
      </w:divBdr>
    </w:div>
    <w:div w:id="1351684315">
      <w:marLeft w:val="0"/>
      <w:marRight w:val="0"/>
      <w:marTop w:val="0"/>
      <w:marBottom w:val="0"/>
      <w:divBdr>
        <w:top w:val="none" w:sz="0" w:space="0" w:color="auto"/>
        <w:left w:val="none" w:sz="0" w:space="0" w:color="auto"/>
        <w:bottom w:val="none" w:sz="0" w:space="0" w:color="auto"/>
        <w:right w:val="none" w:sz="0" w:space="0" w:color="auto"/>
      </w:divBdr>
    </w:div>
    <w:div w:id="1351684316">
      <w:marLeft w:val="0"/>
      <w:marRight w:val="0"/>
      <w:marTop w:val="0"/>
      <w:marBottom w:val="0"/>
      <w:divBdr>
        <w:top w:val="none" w:sz="0" w:space="0" w:color="auto"/>
        <w:left w:val="none" w:sz="0" w:space="0" w:color="auto"/>
        <w:bottom w:val="none" w:sz="0" w:space="0" w:color="auto"/>
        <w:right w:val="none" w:sz="0" w:space="0" w:color="auto"/>
      </w:divBdr>
    </w:div>
    <w:div w:id="1351684318">
      <w:marLeft w:val="0"/>
      <w:marRight w:val="0"/>
      <w:marTop w:val="0"/>
      <w:marBottom w:val="0"/>
      <w:divBdr>
        <w:top w:val="none" w:sz="0" w:space="0" w:color="auto"/>
        <w:left w:val="none" w:sz="0" w:space="0" w:color="auto"/>
        <w:bottom w:val="none" w:sz="0" w:space="0" w:color="auto"/>
        <w:right w:val="none" w:sz="0" w:space="0" w:color="auto"/>
      </w:divBdr>
    </w:div>
    <w:div w:id="1351684319">
      <w:marLeft w:val="0"/>
      <w:marRight w:val="0"/>
      <w:marTop w:val="0"/>
      <w:marBottom w:val="0"/>
      <w:divBdr>
        <w:top w:val="none" w:sz="0" w:space="0" w:color="auto"/>
        <w:left w:val="none" w:sz="0" w:space="0" w:color="auto"/>
        <w:bottom w:val="none" w:sz="0" w:space="0" w:color="auto"/>
        <w:right w:val="none" w:sz="0" w:space="0" w:color="auto"/>
      </w:divBdr>
    </w:div>
    <w:div w:id="1351684320">
      <w:marLeft w:val="0"/>
      <w:marRight w:val="0"/>
      <w:marTop w:val="0"/>
      <w:marBottom w:val="0"/>
      <w:divBdr>
        <w:top w:val="none" w:sz="0" w:space="0" w:color="auto"/>
        <w:left w:val="none" w:sz="0" w:space="0" w:color="auto"/>
        <w:bottom w:val="none" w:sz="0" w:space="0" w:color="auto"/>
        <w:right w:val="none" w:sz="0" w:space="0" w:color="auto"/>
      </w:divBdr>
    </w:div>
    <w:div w:id="1351684321">
      <w:marLeft w:val="0"/>
      <w:marRight w:val="0"/>
      <w:marTop w:val="0"/>
      <w:marBottom w:val="0"/>
      <w:divBdr>
        <w:top w:val="none" w:sz="0" w:space="0" w:color="auto"/>
        <w:left w:val="none" w:sz="0" w:space="0" w:color="auto"/>
        <w:bottom w:val="none" w:sz="0" w:space="0" w:color="auto"/>
        <w:right w:val="none" w:sz="0" w:space="0" w:color="auto"/>
      </w:divBdr>
    </w:div>
    <w:div w:id="1351684322">
      <w:marLeft w:val="0"/>
      <w:marRight w:val="0"/>
      <w:marTop w:val="0"/>
      <w:marBottom w:val="0"/>
      <w:divBdr>
        <w:top w:val="none" w:sz="0" w:space="0" w:color="auto"/>
        <w:left w:val="none" w:sz="0" w:space="0" w:color="auto"/>
        <w:bottom w:val="none" w:sz="0" w:space="0" w:color="auto"/>
        <w:right w:val="none" w:sz="0" w:space="0" w:color="auto"/>
      </w:divBdr>
    </w:div>
    <w:div w:id="1351684323">
      <w:marLeft w:val="0"/>
      <w:marRight w:val="0"/>
      <w:marTop w:val="0"/>
      <w:marBottom w:val="0"/>
      <w:divBdr>
        <w:top w:val="none" w:sz="0" w:space="0" w:color="auto"/>
        <w:left w:val="none" w:sz="0" w:space="0" w:color="auto"/>
        <w:bottom w:val="none" w:sz="0" w:space="0" w:color="auto"/>
        <w:right w:val="none" w:sz="0" w:space="0" w:color="auto"/>
      </w:divBdr>
    </w:div>
    <w:div w:id="1351684324">
      <w:marLeft w:val="0"/>
      <w:marRight w:val="0"/>
      <w:marTop w:val="0"/>
      <w:marBottom w:val="0"/>
      <w:divBdr>
        <w:top w:val="none" w:sz="0" w:space="0" w:color="auto"/>
        <w:left w:val="none" w:sz="0" w:space="0" w:color="auto"/>
        <w:bottom w:val="none" w:sz="0" w:space="0" w:color="auto"/>
        <w:right w:val="none" w:sz="0" w:space="0" w:color="auto"/>
      </w:divBdr>
    </w:div>
    <w:div w:id="1351684325">
      <w:marLeft w:val="0"/>
      <w:marRight w:val="0"/>
      <w:marTop w:val="0"/>
      <w:marBottom w:val="0"/>
      <w:divBdr>
        <w:top w:val="none" w:sz="0" w:space="0" w:color="auto"/>
        <w:left w:val="none" w:sz="0" w:space="0" w:color="auto"/>
        <w:bottom w:val="none" w:sz="0" w:space="0" w:color="auto"/>
        <w:right w:val="none" w:sz="0" w:space="0" w:color="auto"/>
      </w:divBdr>
    </w:div>
    <w:div w:id="1351684326">
      <w:marLeft w:val="0"/>
      <w:marRight w:val="0"/>
      <w:marTop w:val="0"/>
      <w:marBottom w:val="0"/>
      <w:divBdr>
        <w:top w:val="none" w:sz="0" w:space="0" w:color="auto"/>
        <w:left w:val="none" w:sz="0" w:space="0" w:color="auto"/>
        <w:bottom w:val="none" w:sz="0" w:space="0" w:color="auto"/>
        <w:right w:val="none" w:sz="0" w:space="0" w:color="auto"/>
      </w:divBdr>
    </w:div>
    <w:div w:id="1351684327">
      <w:marLeft w:val="0"/>
      <w:marRight w:val="0"/>
      <w:marTop w:val="0"/>
      <w:marBottom w:val="0"/>
      <w:divBdr>
        <w:top w:val="none" w:sz="0" w:space="0" w:color="auto"/>
        <w:left w:val="none" w:sz="0" w:space="0" w:color="auto"/>
        <w:bottom w:val="none" w:sz="0" w:space="0" w:color="auto"/>
        <w:right w:val="none" w:sz="0" w:space="0" w:color="auto"/>
      </w:divBdr>
    </w:div>
    <w:div w:id="1351684328">
      <w:marLeft w:val="0"/>
      <w:marRight w:val="0"/>
      <w:marTop w:val="0"/>
      <w:marBottom w:val="0"/>
      <w:divBdr>
        <w:top w:val="none" w:sz="0" w:space="0" w:color="auto"/>
        <w:left w:val="none" w:sz="0" w:space="0" w:color="auto"/>
        <w:bottom w:val="none" w:sz="0" w:space="0" w:color="auto"/>
        <w:right w:val="none" w:sz="0" w:space="0" w:color="auto"/>
      </w:divBdr>
    </w:div>
    <w:div w:id="1351684329">
      <w:marLeft w:val="0"/>
      <w:marRight w:val="0"/>
      <w:marTop w:val="0"/>
      <w:marBottom w:val="0"/>
      <w:divBdr>
        <w:top w:val="none" w:sz="0" w:space="0" w:color="auto"/>
        <w:left w:val="none" w:sz="0" w:space="0" w:color="auto"/>
        <w:bottom w:val="none" w:sz="0" w:space="0" w:color="auto"/>
        <w:right w:val="none" w:sz="0" w:space="0" w:color="auto"/>
      </w:divBdr>
    </w:div>
    <w:div w:id="1351684330">
      <w:marLeft w:val="0"/>
      <w:marRight w:val="0"/>
      <w:marTop w:val="0"/>
      <w:marBottom w:val="0"/>
      <w:divBdr>
        <w:top w:val="none" w:sz="0" w:space="0" w:color="auto"/>
        <w:left w:val="none" w:sz="0" w:space="0" w:color="auto"/>
        <w:bottom w:val="none" w:sz="0" w:space="0" w:color="auto"/>
        <w:right w:val="none" w:sz="0" w:space="0" w:color="auto"/>
      </w:divBdr>
    </w:div>
    <w:div w:id="1351684331">
      <w:marLeft w:val="0"/>
      <w:marRight w:val="0"/>
      <w:marTop w:val="0"/>
      <w:marBottom w:val="0"/>
      <w:divBdr>
        <w:top w:val="none" w:sz="0" w:space="0" w:color="auto"/>
        <w:left w:val="none" w:sz="0" w:space="0" w:color="auto"/>
        <w:bottom w:val="none" w:sz="0" w:space="0" w:color="auto"/>
        <w:right w:val="none" w:sz="0" w:space="0" w:color="auto"/>
      </w:divBdr>
    </w:div>
    <w:div w:id="1351684332">
      <w:marLeft w:val="0"/>
      <w:marRight w:val="0"/>
      <w:marTop w:val="0"/>
      <w:marBottom w:val="0"/>
      <w:divBdr>
        <w:top w:val="none" w:sz="0" w:space="0" w:color="auto"/>
        <w:left w:val="none" w:sz="0" w:space="0" w:color="auto"/>
        <w:bottom w:val="none" w:sz="0" w:space="0" w:color="auto"/>
        <w:right w:val="none" w:sz="0" w:space="0" w:color="auto"/>
      </w:divBdr>
    </w:div>
    <w:div w:id="1351684333">
      <w:marLeft w:val="0"/>
      <w:marRight w:val="0"/>
      <w:marTop w:val="0"/>
      <w:marBottom w:val="0"/>
      <w:divBdr>
        <w:top w:val="none" w:sz="0" w:space="0" w:color="auto"/>
        <w:left w:val="none" w:sz="0" w:space="0" w:color="auto"/>
        <w:bottom w:val="none" w:sz="0" w:space="0" w:color="auto"/>
        <w:right w:val="none" w:sz="0" w:space="0" w:color="auto"/>
      </w:divBdr>
    </w:div>
    <w:div w:id="1351684334">
      <w:marLeft w:val="0"/>
      <w:marRight w:val="0"/>
      <w:marTop w:val="0"/>
      <w:marBottom w:val="0"/>
      <w:divBdr>
        <w:top w:val="none" w:sz="0" w:space="0" w:color="auto"/>
        <w:left w:val="none" w:sz="0" w:space="0" w:color="auto"/>
        <w:bottom w:val="none" w:sz="0" w:space="0" w:color="auto"/>
        <w:right w:val="none" w:sz="0" w:space="0" w:color="auto"/>
      </w:divBdr>
    </w:div>
    <w:div w:id="1351684335">
      <w:marLeft w:val="0"/>
      <w:marRight w:val="0"/>
      <w:marTop w:val="0"/>
      <w:marBottom w:val="0"/>
      <w:divBdr>
        <w:top w:val="none" w:sz="0" w:space="0" w:color="auto"/>
        <w:left w:val="none" w:sz="0" w:space="0" w:color="auto"/>
        <w:bottom w:val="none" w:sz="0" w:space="0" w:color="auto"/>
        <w:right w:val="none" w:sz="0" w:space="0" w:color="auto"/>
      </w:divBdr>
    </w:div>
    <w:div w:id="1351684336">
      <w:marLeft w:val="0"/>
      <w:marRight w:val="0"/>
      <w:marTop w:val="0"/>
      <w:marBottom w:val="0"/>
      <w:divBdr>
        <w:top w:val="none" w:sz="0" w:space="0" w:color="auto"/>
        <w:left w:val="none" w:sz="0" w:space="0" w:color="auto"/>
        <w:bottom w:val="none" w:sz="0" w:space="0" w:color="auto"/>
        <w:right w:val="none" w:sz="0" w:space="0" w:color="auto"/>
      </w:divBdr>
    </w:div>
    <w:div w:id="1351684337">
      <w:marLeft w:val="0"/>
      <w:marRight w:val="0"/>
      <w:marTop w:val="0"/>
      <w:marBottom w:val="0"/>
      <w:divBdr>
        <w:top w:val="none" w:sz="0" w:space="0" w:color="auto"/>
        <w:left w:val="none" w:sz="0" w:space="0" w:color="auto"/>
        <w:bottom w:val="none" w:sz="0" w:space="0" w:color="auto"/>
        <w:right w:val="none" w:sz="0" w:space="0" w:color="auto"/>
      </w:divBdr>
    </w:div>
    <w:div w:id="1351684338">
      <w:marLeft w:val="0"/>
      <w:marRight w:val="0"/>
      <w:marTop w:val="0"/>
      <w:marBottom w:val="0"/>
      <w:divBdr>
        <w:top w:val="none" w:sz="0" w:space="0" w:color="auto"/>
        <w:left w:val="none" w:sz="0" w:space="0" w:color="auto"/>
        <w:bottom w:val="none" w:sz="0" w:space="0" w:color="auto"/>
        <w:right w:val="none" w:sz="0" w:space="0" w:color="auto"/>
      </w:divBdr>
    </w:div>
    <w:div w:id="1351684339">
      <w:marLeft w:val="0"/>
      <w:marRight w:val="0"/>
      <w:marTop w:val="0"/>
      <w:marBottom w:val="0"/>
      <w:divBdr>
        <w:top w:val="none" w:sz="0" w:space="0" w:color="auto"/>
        <w:left w:val="none" w:sz="0" w:space="0" w:color="auto"/>
        <w:bottom w:val="none" w:sz="0" w:space="0" w:color="auto"/>
        <w:right w:val="none" w:sz="0" w:space="0" w:color="auto"/>
      </w:divBdr>
    </w:div>
    <w:div w:id="1351684340">
      <w:marLeft w:val="0"/>
      <w:marRight w:val="0"/>
      <w:marTop w:val="0"/>
      <w:marBottom w:val="0"/>
      <w:divBdr>
        <w:top w:val="none" w:sz="0" w:space="0" w:color="auto"/>
        <w:left w:val="none" w:sz="0" w:space="0" w:color="auto"/>
        <w:bottom w:val="none" w:sz="0" w:space="0" w:color="auto"/>
        <w:right w:val="none" w:sz="0" w:space="0" w:color="auto"/>
      </w:divBdr>
    </w:div>
    <w:div w:id="1351684341">
      <w:marLeft w:val="0"/>
      <w:marRight w:val="0"/>
      <w:marTop w:val="0"/>
      <w:marBottom w:val="0"/>
      <w:divBdr>
        <w:top w:val="none" w:sz="0" w:space="0" w:color="auto"/>
        <w:left w:val="none" w:sz="0" w:space="0" w:color="auto"/>
        <w:bottom w:val="none" w:sz="0" w:space="0" w:color="auto"/>
        <w:right w:val="none" w:sz="0" w:space="0" w:color="auto"/>
      </w:divBdr>
    </w:div>
    <w:div w:id="1351684342">
      <w:marLeft w:val="0"/>
      <w:marRight w:val="0"/>
      <w:marTop w:val="0"/>
      <w:marBottom w:val="0"/>
      <w:divBdr>
        <w:top w:val="none" w:sz="0" w:space="0" w:color="auto"/>
        <w:left w:val="none" w:sz="0" w:space="0" w:color="auto"/>
        <w:bottom w:val="none" w:sz="0" w:space="0" w:color="auto"/>
        <w:right w:val="none" w:sz="0" w:space="0" w:color="auto"/>
      </w:divBdr>
    </w:div>
    <w:div w:id="1351684343">
      <w:marLeft w:val="0"/>
      <w:marRight w:val="0"/>
      <w:marTop w:val="0"/>
      <w:marBottom w:val="0"/>
      <w:divBdr>
        <w:top w:val="none" w:sz="0" w:space="0" w:color="auto"/>
        <w:left w:val="none" w:sz="0" w:space="0" w:color="auto"/>
        <w:bottom w:val="none" w:sz="0" w:space="0" w:color="auto"/>
        <w:right w:val="none" w:sz="0" w:space="0" w:color="auto"/>
      </w:divBdr>
    </w:div>
    <w:div w:id="1351684344">
      <w:marLeft w:val="0"/>
      <w:marRight w:val="0"/>
      <w:marTop w:val="0"/>
      <w:marBottom w:val="0"/>
      <w:divBdr>
        <w:top w:val="none" w:sz="0" w:space="0" w:color="auto"/>
        <w:left w:val="none" w:sz="0" w:space="0" w:color="auto"/>
        <w:bottom w:val="none" w:sz="0" w:space="0" w:color="auto"/>
        <w:right w:val="none" w:sz="0" w:space="0" w:color="auto"/>
      </w:divBdr>
    </w:div>
    <w:div w:id="1351684345">
      <w:marLeft w:val="0"/>
      <w:marRight w:val="0"/>
      <w:marTop w:val="0"/>
      <w:marBottom w:val="0"/>
      <w:divBdr>
        <w:top w:val="none" w:sz="0" w:space="0" w:color="auto"/>
        <w:left w:val="none" w:sz="0" w:space="0" w:color="auto"/>
        <w:bottom w:val="none" w:sz="0" w:space="0" w:color="auto"/>
        <w:right w:val="none" w:sz="0" w:space="0" w:color="auto"/>
      </w:divBdr>
    </w:div>
    <w:div w:id="1351684346">
      <w:marLeft w:val="0"/>
      <w:marRight w:val="0"/>
      <w:marTop w:val="0"/>
      <w:marBottom w:val="0"/>
      <w:divBdr>
        <w:top w:val="none" w:sz="0" w:space="0" w:color="auto"/>
        <w:left w:val="none" w:sz="0" w:space="0" w:color="auto"/>
        <w:bottom w:val="none" w:sz="0" w:space="0" w:color="auto"/>
        <w:right w:val="none" w:sz="0" w:space="0" w:color="auto"/>
      </w:divBdr>
    </w:div>
    <w:div w:id="1351684347">
      <w:marLeft w:val="0"/>
      <w:marRight w:val="0"/>
      <w:marTop w:val="0"/>
      <w:marBottom w:val="0"/>
      <w:divBdr>
        <w:top w:val="none" w:sz="0" w:space="0" w:color="auto"/>
        <w:left w:val="none" w:sz="0" w:space="0" w:color="auto"/>
        <w:bottom w:val="none" w:sz="0" w:space="0" w:color="auto"/>
        <w:right w:val="none" w:sz="0" w:space="0" w:color="auto"/>
      </w:divBdr>
    </w:div>
    <w:div w:id="1351684348">
      <w:marLeft w:val="0"/>
      <w:marRight w:val="0"/>
      <w:marTop w:val="0"/>
      <w:marBottom w:val="0"/>
      <w:divBdr>
        <w:top w:val="none" w:sz="0" w:space="0" w:color="auto"/>
        <w:left w:val="none" w:sz="0" w:space="0" w:color="auto"/>
        <w:bottom w:val="none" w:sz="0" w:space="0" w:color="auto"/>
        <w:right w:val="none" w:sz="0" w:space="0" w:color="auto"/>
      </w:divBdr>
    </w:div>
    <w:div w:id="1351684349">
      <w:marLeft w:val="0"/>
      <w:marRight w:val="0"/>
      <w:marTop w:val="0"/>
      <w:marBottom w:val="0"/>
      <w:divBdr>
        <w:top w:val="none" w:sz="0" w:space="0" w:color="auto"/>
        <w:left w:val="none" w:sz="0" w:space="0" w:color="auto"/>
        <w:bottom w:val="none" w:sz="0" w:space="0" w:color="auto"/>
        <w:right w:val="none" w:sz="0" w:space="0" w:color="auto"/>
      </w:divBdr>
    </w:div>
    <w:div w:id="1351684350">
      <w:marLeft w:val="0"/>
      <w:marRight w:val="0"/>
      <w:marTop w:val="0"/>
      <w:marBottom w:val="0"/>
      <w:divBdr>
        <w:top w:val="none" w:sz="0" w:space="0" w:color="auto"/>
        <w:left w:val="none" w:sz="0" w:space="0" w:color="auto"/>
        <w:bottom w:val="none" w:sz="0" w:space="0" w:color="auto"/>
        <w:right w:val="none" w:sz="0" w:space="0" w:color="auto"/>
      </w:divBdr>
    </w:div>
    <w:div w:id="1351684351">
      <w:marLeft w:val="0"/>
      <w:marRight w:val="0"/>
      <w:marTop w:val="0"/>
      <w:marBottom w:val="0"/>
      <w:divBdr>
        <w:top w:val="none" w:sz="0" w:space="0" w:color="auto"/>
        <w:left w:val="none" w:sz="0" w:space="0" w:color="auto"/>
        <w:bottom w:val="none" w:sz="0" w:space="0" w:color="auto"/>
        <w:right w:val="none" w:sz="0" w:space="0" w:color="auto"/>
      </w:divBdr>
    </w:div>
    <w:div w:id="1351684352">
      <w:marLeft w:val="0"/>
      <w:marRight w:val="0"/>
      <w:marTop w:val="0"/>
      <w:marBottom w:val="0"/>
      <w:divBdr>
        <w:top w:val="none" w:sz="0" w:space="0" w:color="auto"/>
        <w:left w:val="none" w:sz="0" w:space="0" w:color="auto"/>
        <w:bottom w:val="none" w:sz="0" w:space="0" w:color="auto"/>
        <w:right w:val="none" w:sz="0" w:space="0" w:color="auto"/>
      </w:divBdr>
    </w:div>
    <w:div w:id="1351684353">
      <w:marLeft w:val="0"/>
      <w:marRight w:val="0"/>
      <w:marTop w:val="0"/>
      <w:marBottom w:val="0"/>
      <w:divBdr>
        <w:top w:val="none" w:sz="0" w:space="0" w:color="auto"/>
        <w:left w:val="none" w:sz="0" w:space="0" w:color="auto"/>
        <w:bottom w:val="none" w:sz="0" w:space="0" w:color="auto"/>
        <w:right w:val="none" w:sz="0" w:space="0" w:color="auto"/>
      </w:divBdr>
    </w:div>
    <w:div w:id="1351684354">
      <w:marLeft w:val="0"/>
      <w:marRight w:val="0"/>
      <w:marTop w:val="0"/>
      <w:marBottom w:val="0"/>
      <w:divBdr>
        <w:top w:val="none" w:sz="0" w:space="0" w:color="auto"/>
        <w:left w:val="none" w:sz="0" w:space="0" w:color="auto"/>
        <w:bottom w:val="none" w:sz="0" w:space="0" w:color="auto"/>
        <w:right w:val="none" w:sz="0" w:space="0" w:color="auto"/>
      </w:divBdr>
    </w:div>
    <w:div w:id="1351684355">
      <w:marLeft w:val="0"/>
      <w:marRight w:val="0"/>
      <w:marTop w:val="0"/>
      <w:marBottom w:val="0"/>
      <w:divBdr>
        <w:top w:val="none" w:sz="0" w:space="0" w:color="auto"/>
        <w:left w:val="none" w:sz="0" w:space="0" w:color="auto"/>
        <w:bottom w:val="none" w:sz="0" w:space="0" w:color="auto"/>
        <w:right w:val="none" w:sz="0" w:space="0" w:color="auto"/>
      </w:divBdr>
    </w:div>
    <w:div w:id="1351684356">
      <w:marLeft w:val="0"/>
      <w:marRight w:val="0"/>
      <w:marTop w:val="0"/>
      <w:marBottom w:val="0"/>
      <w:divBdr>
        <w:top w:val="none" w:sz="0" w:space="0" w:color="auto"/>
        <w:left w:val="none" w:sz="0" w:space="0" w:color="auto"/>
        <w:bottom w:val="none" w:sz="0" w:space="0" w:color="auto"/>
        <w:right w:val="none" w:sz="0" w:space="0" w:color="auto"/>
      </w:divBdr>
    </w:div>
    <w:div w:id="1351684357">
      <w:marLeft w:val="0"/>
      <w:marRight w:val="0"/>
      <w:marTop w:val="0"/>
      <w:marBottom w:val="0"/>
      <w:divBdr>
        <w:top w:val="none" w:sz="0" w:space="0" w:color="auto"/>
        <w:left w:val="none" w:sz="0" w:space="0" w:color="auto"/>
        <w:bottom w:val="none" w:sz="0" w:space="0" w:color="auto"/>
        <w:right w:val="none" w:sz="0" w:space="0" w:color="auto"/>
      </w:divBdr>
    </w:div>
    <w:div w:id="1351684358">
      <w:marLeft w:val="0"/>
      <w:marRight w:val="0"/>
      <w:marTop w:val="0"/>
      <w:marBottom w:val="0"/>
      <w:divBdr>
        <w:top w:val="none" w:sz="0" w:space="0" w:color="auto"/>
        <w:left w:val="none" w:sz="0" w:space="0" w:color="auto"/>
        <w:bottom w:val="none" w:sz="0" w:space="0" w:color="auto"/>
        <w:right w:val="none" w:sz="0" w:space="0" w:color="auto"/>
      </w:divBdr>
    </w:div>
    <w:div w:id="1351684359">
      <w:marLeft w:val="0"/>
      <w:marRight w:val="0"/>
      <w:marTop w:val="0"/>
      <w:marBottom w:val="0"/>
      <w:divBdr>
        <w:top w:val="none" w:sz="0" w:space="0" w:color="auto"/>
        <w:left w:val="none" w:sz="0" w:space="0" w:color="auto"/>
        <w:bottom w:val="none" w:sz="0" w:space="0" w:color="auto"/>
        <w:right w:val="none" w:sz="0" w:space="0" w:color="auto"/>
      </w:divBdr>
    </w:div>
    <w:div w:id="1351684360">
      <w:marLeft w:val="0"/>
      <w:marRight w:val="0"/>
      <w:marTop w:val="0"/>
      <w:marBottom w:val="0"/>
      <w:divBdr>
        <w:top w:val="none" w:sz="0" w:space="0" w:color="auto"/>
        <w:left w:val="none" w:sz="0" w:space="0" w:color="auto"/>
        <w:bottom w:val="none" w:sz="0" w:space="0" w:color="auto"/>
        <w:right w:val="none" w:sz="0" w:space="0" w:color="auto"/>
      </w:divBdr>
    </w:div>
    <w:div w:id="1351684361">
      <w:marLeft w:val="0"/>
      <w:marRight w:val="0"/>
      <w:marTop w:val="0"/>
      <w:marBottom w:val="0"/>
      <w:divBdr>
        <w:top w:val="none" w:sz="0" w:space="0" w:color="auto"/>
        <w:left w:val="none" w:sz="0" w:space="0" w:color="auto"/>
        <w:bottom w:val="none" w:sz="0" w:space="0" w:color="auto"/>
        <w:right w:val="none" w:sz="0" w:space="0" w:color="auto"/>
      </w:divBdr>
    </w:div>
    <w:div w:id="1351684362">
      <w:marLeft w:val="0"/>
      <w:marRight w:val="0"/>
      <w:marTop w:val="0"/>
      <w:marBottom w:val="0"/>
      <w:divBdr>
        <w:top w:val="none" w:sz="0" w:space="0" w:color="auto"/>
        <w:left w:val="none" w:sz="0" w:space="0" w:color="auto"/>
        <w:bottom w:val="none" w:sz="0" w:space="0" w:color="auto"/>
        <w:right w:val="none" w:sz="0" w:space="0" w:color="auto"/>
      </w:divBdr>
    </w:div>
    <w:div w:id="1351684363">
      <w:marLeft w:val="0"/>
      <w:marRight w:val="0"/>
      <w:marTop w:val="0"/>
      <w:marBottom w:val="0"/>
      <w:divBdr>
        <w:top w:val="none" w:sz="0" w:space="0" w:color="auto"/>
        <w:left w:val="none" w:sz="0" w:space="0" w:color="auto"/>
        <w:bottom w:val="none" w:sz="0" w:space="0" w:color="auto"/>
        <w:right w:val="none" w:sz="0" w:space="0" w:color="auto"/>
      </w:divBdr>
    </w:div>
    <w:div w:id="1351684364">
      <w:marLeft w:val="0"/>
      <w:marRight w:val="0"/>
      <w:marTop w:val="0"/>
      <w:marBottom w:val="0"/>
      <w:divBdr>
        <w:top w:val="none" w:sz="0" w:space="0" w:color="auto"/>
        <w:left w:val="none" w:sz="0" w:space="0" w:color="auto"/>
        <w:bottom w:val="none" w:sz="0" w:space="0" w:color="auto"/>
        <w:right w:val="none" w:sz="0" w:space="0" w:color="auto"/>
      </w:divBdr>
    </w:div>
    <w:div w:id="1351684365">
      <w:marLeft w:val="0"/>
      <w:marRight w:val="0"/>
      <w:marTop w:val="0"/>
      <w:marBottom w:val="0"/>
      <w:divBdr>
        <w:top w:val="none" w:sz="0" w:space="0" w:color="auto"/>
        <w:left w:val="none" w:sz="0" w:space="0" w:color="auto"/>
        <w:bottom w:val="none" w:sz="0" w:space="0" w:color="auto"/>
        <w:right w:val="none" w:sz="0" w:space="0" w:color="auto"/>
      </w:divBdr>
    </w:div>
    <w:div w:id="1351684366">
      <w:marLeft w:val="0"/>
      <w:marRight w:val="0"/>
      <w:marTop w:val="0"/>
      <w:marBottom w:val="0"/>
      <w:divBdr>
        <w:top w:val="none" w:sz="0" w:space="0" w:color="auto"/>
        <w:left w:val="none" w:sz="0" w:space="0" w:color="auto"/>
        <w:bottom w:val="none" w:sz="0" w:space="0" w:color="auto"/>
        <w:right w:val="none" w:sz="0" w:space="0" w:color="auto"/>
      </w:divBdr>
    </w:div>
    <w:div w:id="1351684367">
      <w:marLeft w:val="0"/>
      <w:marRight w:val="0"/>
      <w:marTop w:val="0"/>
      <w:marBottom w:val="0"/>
      <w:divBdr>
        <w:top w:val="none" w:sz="0" w:space="0" w:color="auto"/>
        <w:left w:val="none" w:sz="0" w:space="0" w:color="auto"/>
        <w:bottom w:val="none" w:sz="0" w:space="0" w:color="auto"/>
        <w:right w:val="none" w:sz="0" w:space="0" w:color="auto"/>
      </w:divBdr>
    </w:div>
    <w:div w:id="1351684368">
      <w:marLeft w:val="0"/>
      <w:marRight w:val="0"/>
      <w:marTop w:val="0"/>
      <w:marBottom w:val="0"/>
      <w:divBdr>
        <w:top w:val="none" w:sz="0" w:space="0" w:color="auto"/>
        <w:left w:val="none" w:sz="0" w:space="0" w:color="auto"/>
        <w:bottom w:val="none" w:sz="0" w:space="0" w:color="auto"/>
        <w:right w:val="none" w:sz="0" w:space="0" w:color="auto"/>
      </w:divBdr>
    </w:div>
    <w:div w:id="1351684369">
      <w:marLeft w:val="0"/>
      <w:marRight w:val="0"/>
      <w:marTop w:val="0"/>
      <w:marBottom w:val="0"/>
      <w:divBdr>
        <w:top w:val="none" w:sz="0" w:space="0" w:color="auto"/>
        <w:left w:val="none" w:sz="0" w:space="0" w:color="auto"/>
        <w:bottom w:val="none" w:sz="0" w:space="0" w:color="auto"/>
        <w:right w:val="none" w:sz="0" w:space="0" w:color="auto"/>
      </w:divBdr>
    </w:div>
    <w:div w:id="1351684370">
      <w:marLeft w:val="0"/>
      <w:marRight w:val="0"/>
      <w:marTop w:val="0"/>
      <w:marBottom w:val="0"/>
      <w:divBdr>
        <w:top w:val="none" w:sz="0" w:space="0" w:color="auto"/>
        <w:left w:val="none" w:sz="0" w:space="0" w:color="auto"/>
        <w:bottom w:val="none" w:sz="0" w:space="0" w:color="auto"/>
        <w:right w:val="none" w:sz="0" w:space="0" w:color="auto"/>
      </w:divBdr>
    </w:div>
    <w:div w:id="1351684371">
      <w:marLeft w:val="0"/>
      <w:marRight w:val="0"/>
      <w:marTop w:val="0"/>
      <w:marBottom w:val="0"/>
      <w:divBdr>
        <w:top w:val="none" w:sz="0" w:space="0" w:color="auto"/>
        <w:left w:val="none" w:sz="0" w:space="0" w:color="auto"/>
        <w:bottom w:val="none" w:sz="0" w:space="0" w:color="auto"/>
        <w:right w:val="none" w:sz="0" w:space="0" w:color="auto"/>
      </w:divBdr>
    </w:div>
    <w:div w:id="1351684372">
      <w:marLeft w:val="0"/>
      <w:marRight w:val="0"/>
      <w:marTop w:val="0"/>
      <w:marBottom w:val="0"/>
      <w:divBdr>
        <w:top w:val="none" w:sz="0" w:space="0" w:color="auto"/>
        <w:left w:val="none" w:sz="0" w:space="0" w:color="auto"/>
        <w:bottom w:val="none" w:sz="0" w:space="0" w:color="auto"/>
        <w:right w:val="none" w:sz="0" w:space="0" w:color="auto"/>
      </w:divBdr>
    </w:div>
    <w:div w:id="1351684373">
      <w:marLeft w:val="0"/>
      <w:marRight w:val="0"/>
      <w:marTop w:val="0"/>
      <w:marBottom w:val="0"/>
      <w:divBdr>
        <w:top w:val="none" w:sz="0" w:space="0" w:color="auto"/>
        <w:left w:val="none" w:sz="0" w:space="0" w:color="auto"/>
        <w:bottom w:val="none" w:sz="0" w:space="0" w:color="auto"/>
        <w:right w:val="none" w:sz="0" w:space="0" w:color="auto"/>
      </w:divBdr>
    </w:div>
    <w:div w:id="1351684374">
      <w:marLeft w:val="0"/>
      <w:marRight w:val="0"/>
      <w:marTop w:val="0"/>
      <w:marBottom w:val="0"/>
      <w:divBdr>
        <w:top w:val="none" w:sz="0" w:space="0" w:color="auto"/>
        <w:left w:val="none" w:sz="0" w:space="0" w:color="auto"/>
        <w:bottom w:val="none" w:sz="0" w:space="0" w:color="auto"/>
        <w:right w:val="none" w:sz="0" w:space="0" w:color="auto"/>
      </w:divBdr>
    </w:div>
    <w:div w:id="1351684375">
      <w:marLeft w:val="0"/>
      <w:marRight w:val="0"/>
      <w:marTop w:val="0"/>
      <w:marBottom w:val="0"/>
      <w:divBdr>
        <w:top w:val="none" w:sz="0" w:space="0" w:color="auto"/>
        <w:left w:val="none" w:sz="0" w:space="0" w:color="auto"/>
        <w:bottom w:val="none" w:sz="0" w:space="0" w:color="auto"/>
        <w:right w:val="none" w:sz="0" w:space="0" w:color="auto"/>
      </w:divBdr>
    </w:div>
    <w:div w:id="1351684376">
      <w:marLeft w:val="0"/>
      <w:marRight w:val="0"/>
      <w:marTop w:val="0"/>
      <w:marBottom w:val="0"/>
      <w:divBdr>
        <w:top w:val="none" w:sz="0" w:space="0" w:color="auto"/>
        <w:left w:val="none" w:sz="0" w:space="0" w:color="auto"/>
        <w:bottom w:val="none" w:sz="0" w:space="0" w:color="auto"/>
        <w:right w:val="none" w:sz="0" w:space="0" w:color="auto"/>
      </w:divBdr>
    </w:div>
    <w:div w:id="1351684378">
      <w:marLeft w:val="0"/>
      <w:marRight w:val="0"/>
      <w:marTop w:val="0"/>
      <w:marBottom w:val="0"/>
      <w:divBdr>
        <w:top w:val="none" w:sz="0" w:space="0" w:color="auto"/>
        <w:left w:val="none" w:sz="0" w:space="0" w:color="auto"/>
        <w:bottom w:val="none" w:sz="0" w:space="0" w:color="auto"/>
        <w:right w:val="none" w:sz="0" w:space="0" w:color="auto"/>
      </w:divBdr>
    </w:div>
    <w:div w:id="1351684379">
      <w:marLeft w:val="0"/>
      <w:marRight w:val="0"/>
      <w:marTop w:val="0"/>
      <w:marBottom w:val="0"/>
      <w:divBdr>
        <w:top w:val="none" w:sz="0" w:space="0" w:color="auto"/>
        <w:left w:val="none" w:sz="0" w:space="0" w:color="auto"/>
        <w:bottom w:val="none" w:sz="0" w:space="0" w:color="auto"/>
        <w:right w:val="none" w:sz="0" w:space="0" w:color="auto"/>
      </w:divBdr>
    </w:div>
    <w:div w:id="1351684381">
      <w:marLeft w:val="0"/>
      <w:marRight w:val="0"/>
      <w:marTop w:val="0"/>
      <w:marBottom w:val="0"/>
      <w:divBdr>
        <w:top w:val="none" w:sz="0" w:space="0" w:color="auto"/>
        <w:left w:val="none" w:sz="0" w:space="0" w:color="auto"/>
        <w:bottom w:val="none" w:sz="0" w:space="0" w:color="auto"/>
        <w:right w:val="none" w:sz="0" w:space="0" w:color="auto"/>
      </w:divBdr>
    </w:div>
    <w:div w:id="1351684382">
      <w:marLeft w:val="0"/>
      <w:marRight w:val="0"/>
      <w:marTop w:val="0"/>
      <w:marBottom w:val="0"/>
      <w:divBdr>
        <w:top w:val="none" w:sz="0" w:space="0" w:color="auto"/>
        <w:left w:val="none" w:sz="0" w:space="0" w:color="auto"/>
        <w:bottom w:val="none" w:sz="0" w:space="0" w:color="auto"/>
        <w:right w:val="none" w:sz="0" w:space="0" w:color="auto"/>
      </w:divBdr>
    </w:div>
    <w:div w:id="1351684383">
      <w:marLeft w:val="0"/>
      <w:marRight w:val="0"/>
      <w:marTop w:val="0"/>
      <w:marBottom w:val="0"/>
      <w:divBdr>
        <w:top w:val="none" w:sz="0" w:space="0" w:color="auto"/>
        <w:left w:val="none" w:sz="0" w:space="0" w:color="auto"/>
        <w:bottom w:val="none" w:sz="0" w:space="0" w:color="auto"/>
        <w:right w:val="none" w:sz="0" w:space="0" w:color="auto"/>
      </w:divBdr>
    </w:div>
    <w:div w:id="1351684384">
      <w:marLeft w:val="0"/>
      <w:marRight w:val="0"/>
      <w:marTop w:val="0"/>
      <w:marBottom w:val="0"/>
      <w:divBdr>
        <w:top w:val="none" w:sz="0" w:space="0" w:color="auto"/>
        <w:left w:val="none" w:sz="0" w:space="0" w:color="auto"/>
        <w:bottom w:val="none" w:sz="0" w:space="0" w:color="auto"/>
        <w:right w:val="none" w:sz="0" w:space="0" w:color="auto"/>
      </w:divBdr>
    </w:div>
    <w:div w:id="1351684385">
      <w:marLeft w:val="0"/>
      <w:marRight w:val="0"/>
      <w:marTop w:val="0"/>
      <w:marBottom w:val="0"/>
      <w:divBdr>
        <w:top w:val="none" w:sz="0" w:space="0" w:color="auto"/>
        <w:left w:val="none" w:sz="0" w:space="0" w:color="auto"/>
        <w:bottom w:val="none" w:sz="0" w:space="0" w:color="auto"/>
        <w:right w:val="none" w:sz="0" w:space="0" w:color="auto"/>
      </w:divBdr>
    </w:div>
    <w:div w:id="1351684386">
      <w:marLeft w:val="0"/>
      <w:marRight w:val="0"/>
      <w:marTop w:val="0"/>
      <w:marBottom w:val="0"/>
      <w:divBdr>
        <w:top w:val="none" w:sz="0" w:space="0" w:color="auto"/>
        <w:left w:val="none" w:sz="0" w:space="0" w:color="auto"/>
        <w:bottom w:val="none" w:sz="0" w:space="0" w:color="auto"/>
        <w:right w:val="none" w:sz="0" w:space="0" w:color="auto"/>
      </w:divBdr>
    </w:div>
    <w:div w:id="1351684387">
      <w:marLeft w:val="0"/>
      <w:marRight w:val="0"/>
      <w:marTop w:val="0"/>
      <w:marBottom w:val="0"/>
      <w:divBdr>
        <w:top w:val="none" w:sz="0" w:space="0" w:color="auto"/>
        <w:left w:val="none" w:sz="0" w:space="0" w:color="auto"/>
        <w:bottom w:val="none" w:sz="0" w:space="0" w:color="auto"/>
        <w:right w:val="none" w:sz="0" w:space="0" w:color="auto"/>
      </w:divBdr>
    </w:div>
    <w:div w:id="1351684388">
      <w:marLeft w:val="0"/>
      <w:marRight w:val="0"/>
      <w:marTop w:val="0"/>
      <w:marBottom w:val="0"/>
      <w:divBdr>
        <w:top w:val="none" w:sz="0" w:space="0" w:color="auto"/>
        <w:left w:val="none" w:sz="0" w:space="0" w:color="auto"/>
        <w:bottom w:val="none" w:sz="0" w:space="0" w:color="auto"/>
        <w:right w:val="none" w:sz="0" w:space="0" w:color="auto"/>
      </w:divBdr>
    </w:div>
    <w:div w:id="1351684389">
      <w:marLeft w:val="0"/>
      <w:marRight w:val="0"/>
      <w:marTop w:val="0"/>
      <w:marBottom w:val="0"/>
      <w:divBdr>
        <w:top w:val="none" w:sz="0" w:space="0" w:color="auto"/>
        <w:left w:val="none" w:sz="0" w:space="0" w:color="auto"/>
        <w:bottom w:val="none" w:sz="0" w:space="0" w:color="auto"/>
        <w:right w:val="none" w:sz="0" w:space="0" w:color="auto"/>
      </w:divBdr>
    </w:div>
    <w:div w:id="1351684390">
      <w:marLeft w:val="0"/>
      <w:marRight w:val="0"/>
      <w:marTop w:val="0"/>
      <w:marBottom w:val="0"/>
      <w:divBdr>
        <w:top w:val="none" w:sz="0" w:space="0" w:color="auto"/>
        <w:left w:val="none" w:sz="0" w:space="0" w:color="auto"/>
        <w:bottom w:val="none" w:sz="0" w:space="0" w:color="auto"/>
        <w:right w:val="none" w:sz="0" w:space="0" w:color="auto"/>
      </w:divBdr>
    </w:div>
    <w:div w:id="1351684391">
      <w:marLeft w:val="0"/>
      <w:marRight w:val="0"/>
      <w:marTop w:val="0"/>
      <w:marBottom w:val="0"/>
      <w:divBdr>
        <w:top w:val="none" w:sz="0" w:space="0" w:color="auto"/>
        <w:left w:val="none" w:sz="0" w:space="0" w:color="auto"/>
        <w:bottom w:val="none" w:sz="0" w:space="0" w:color="auto"/>
        <w:right w:val="none" w:sz="0" w:space="0" w:color="auto"/>
      </w:divBdr>
    </w:div>
    <w:div w:id="1351684392">
      <w:marLeft w:val="0"/>
      <w:marRight w:val="0"/>
      <w:marTop w:val="0"/>
      <w:marBottom w:val="0"/>
      <w:divBdr>
        <w:top w:val="none" w:sz="0" w:space="0" w:color="auto"/>
        <w:left w:val="none" w:sz="0" w:space="0" w:color="auto"/>
        <w:bottom w:val="none" w:sz="0" w:space="0" w:color="auto"/>
        <w:right w:val="none" w:sz="0" w:space="0" w:color="auto"/>
      </w:divBdr>
      <w:divsChild>
        <w:div w:id="1351684276">
          <w:marLeft w:val="0"/>
          <w:marRight w:val="0"/>
          <w:marTop w:val="0"/>
          <w:marBottom w:val="0"/>
          <w:divBdr>
            <w:top w:val="none" w:sz="0" w:space="0" w:color="auto"/>
            <w:left w:val="none" w:sz="0" w:space="0" w:color="auto"/>
            <w:bottom w:val="none" w:sz="0" w:space="0" w:color="auto"/>
            <w:right w:val="none" w:sz="0" w:space="0" w:color="auto"/>
          </w:divBdr>
        </w:div>
        <w:div w:id="1351684277">
          <w:marLeft w:val="0"/>
          <w:marRight w:val="0"/>
          <w:marTop w:val="0"/>
          <w:marBottom w:val="0"/>
          <w:divBdr>
            <w:top w:val="none" w:sz="0" w:space="0" w:color="auto"/>
            <w:left w:val="none" w:sz="0" w:space="0" w:color="auto"/>
            <w:bottom w:val="none" w:sz="0" w:space="0" w:color="auto"/>
            <w:right w:val="none" w:sz="0" w:space="0" w:color="auto"/>
          </w:divBdr>
        </w:div>
        <w:div w:id="1351684304">
          <w:marLeft w:val="0"/>
          <w:marRight w:val="0"/>
          <w:marTop w:val="0"/>
          <w:marBottom w:val="0"/>
          <w:divBdr>
            <w:top w:val="none" w:sz="0" w:space="0" w:color="auto"/>
            <w:left w:val="none" w:sz="0" w:space="0" w:color="auto"/>
            <w:bottom w:val="none" w:sz="0" w:space="0" w:color="auto"/>
            <w:right w:val="none" w:sz="0" w:space="0" w:color="auto"/>
          </w:divBdr>
        </w:div>
        <w:div w:id="1351684317">
          <w:marLeft w:val="0"/>
          <w:marRight w:val="0"/>
          <w:marTop w:val="0"/>
          <w:marBottom w:val="0"/>
          <w:divBdr>
            <w:top w:val="none" w:sz="0" w:space="0" w:color="auto"/>
            <w:left w:val="none" w:sz="0" w:space="0" w:color="auto"/>
            <w:bottom w:val="none" w:sz="0" w:space="0" w:color="auto"/>
            <w:right w:val="none" w:sz="0" w:space="0" w:color="auto"/>
          </w:divBdr>
        </w:div>
        <w:div w:id="1351684377">
          <w:marLeft w:val="0"/>
          <w:marRight w:val="0"/>
          <w:marTop w:val="0"/>
          <w:marBottom w:val="0"/>
          <w:divBdr>
            <w:top w:val="none" w:sz="0" w:space="0" w:color="auto"/>
            <w:left w:val="none" w:sz="0" w:space="0" w:color="auto"/>
            <w:bottom w:val="none" w:sz="0" w:space="0" w:color="auto"/>
            <w:right w:val="none" w:sz="0" w:space="0" w:color="auto"/>
          </w:divBdr>
        </w:div>
        <w:div w:id="1351684380">
          <w:marLeft w:val="0"/>
          <w:marRight w:val="0"/>
          <w:marTop w:val="0"/>
          <w:marBottom w:val="0"/>
          <w:divBdr>
            <w:top w:val="none" w:sz="0" w:space="0" w:color="auto"/>
            <w:left w:val="none" w:sz="0" w:space="0" w:color="auto"/>
            <w:bottom w:val="none" w:sz="0" w:space="0" w:color="auto"/>
            <w:right w:val="none" w:sz="0" w:space="0" w:color="auto"/>
          </w:divBdr>
        </w:div>
        <w:div w:id="1351684393">
          <w:marLeft w:val="0"/>
          <w:marRight w:val="0"/>
          <w:marTop w:val="0"/>
          <w:marBottom w:val="0"/>
          <w:divBdr>
            <w:top w:val="none" w:sz="0" w:space="0" w:color="auto"/>
            <w:left w:val="none" w:sz="0" w:space="0" w:color="auto"/>
            <w:bottom w:val="none" w:sz="0" w:space="0" w:color="auto"/>
            <w:right w:val="none" w:sz="0" w:space="0" w:color="auto"/>
          </w:divBdr>
        </w:div>
        <w:div w:id="1351684406">
          <w:marLeft w:val="0"/>
          <w:marRight w:val="0"/>
          <w:marTop w:val="0"/>
          <w:marBottom w:val="0"/>
          <w:divBdr>
            <w:top w:val="none" w:sz="0" w:space="0" w:color="auto"/>
            <w:left w:val="none" w:sz="0" w:space="0" w:color="auto"/>
            <w:bottom w:val="none" w:sz="0" w:space="0" w:color="auto"/>
            <w:right w:val="none" w:sz="0" w:space="0" w:color="auto"/>
          </w:divBdr>
        </w:div>
      </w:divsChild>
    </w:div>
    <w:div w:id="1351684394">
      <w:marLeft w:val="0"/>
      <w:marRight w:val="0"/>
      <w:marTop w:val="0"/>
      <w:marBottom w:val="0"/>
      <w:divBdr>
        <w:top w:val="none" w:sz="0" w:space="0" w:color="auto"/>
        <w:left w:val="none" w:sz="0" w:space="0" w:color="auto"/>
        <w:bottom w:val="none" w:sz="0" w:space="0" w:color="auto"/>
        <w:right w:val="none" w:sz="0" w:space="0" w:color="auto"/>
      </w:divBdr>
    </w:div>
    <w:div w:id="1351684395">
      <w:marLeft w:val="0"/>
      <w:marRight w:val="0"/>
      <w:marTop w:val="0"/>
      <w:marBottom w:val="0"/>
      <w:divBdr>
        <w:top w:val="none" w:sz="0" w:space="0" w:color="auto"/>
        <w:left w:val="none" w:sz="0" w:space="0" w:color="auto"/>
        <w:bottom w:val="none" w:sz="0" w:space="0" w:color="auto"/>
        <w:right w:val="none" w:sz="0" w:space="0" w:color="auto"/>
      </w:divBdr>
    </w:div>
    <w:div w:id="1351684396">
      <w:marLeft w:val="0"/>
      <w:marRight w:val="0"/>
      <w:marTop w:val="0"/>
      <w:marBottom w:val="0"/>
      <w:divBdr>
        <w:top w:val="none" w:sz="0" w:space="0" w:color="auto"/>
        <w:left w:val="none" w:sz="0" w:space="0" w:color="auto"/>
        <w:bottom w:val="none" w:sz="0" w:space="0" w:color="auto"/>
        <w:right w:val="none" w:sz="0" w:space="0" w:color="auto"/>
      </w:divBdr>
    </w:div>
    <w:div w:id="1351684397">
      <w:marLeft w:val="0"/>
      <w:marRight w:val="0"/>
      <w:marTop w:val="0"/>
      <w:marBottom w:val="0"/>
      <w:divBdr>
        <w:top w:val="none" w:sz="0" w:space="0" w:color="auto"/>
        <w:left w:val="none" w:sz="0" w:space="0" w:color="auto"/>
        <w:bottom w:val="none" w:sz="0" w:space="0" w:color="auto"/>
        <w:right w:val="none" w:sz="0" w:space="0" w:color="auto"/>
      </w:divBdr>
    </w:div>
    <w:div w:id="1351684398">
      <w:marLeft w:val="0"/>
      <w:marRight w:val="0"/>
      <w:marTop w:val="0"/>
      <w:marBottom w:val="0"/>
      <w:divBdr>
        <w:top w:val="none" w:sz="0" w:space="0" w:color="auto"/>
        <w:left w:val="none" w:sz="0" w:space="0" w:color="auto"/>
        <w:bottom w:val="none" w:sz="0" w:space="0" w:color="auto"/>
        <w:right w:val="none" w:sz="0" w:space="0" w:color="auto"/>
      </w:divBdr>
    </w:div>
    <w:div w:id="1351684399">
      <w:marLeft w:val="0"/>
      <w:marRight w:val="0"/>
      <w:marTop w:val="0"/>
      <w:marBottom w:val="0"/>
      <w:divBdr>
        <w:top w:val="none" w:sz="0" w:space="0" w:color="auto"/>
        <w:left w:val="none" w:sz="0" w:space="0" w:color="auto"/>
        <w:bottom w:val="none" w:sz="0" w:space="0" w:color="auto"/>
        <w:right w:val="none" w:sz="0" w:space="0" w:color="auto"/>
      </w:divBdr>
    </w:div>
    <w:div w:id="1351684400">
      <w:marLeft w:val="0"/>
      <w:marRight w:val="0"/>
      <w:marTop w:val="0"/>
      <w:marBottom w:val="0"/>
      <w:divBdr>
        <w:top w:val="none" w:sz="0" w:space="0" w:color="auto"/>
        <w:left w:val="none" w:sz="0" w:space="0" w:color="auto"/>
        <w:bottom w:val="none" w:sz="0" w:space="0" w:color="auto"/>
        <w:right w:val="none" w:sz="0" w:space="0" w:color="auto"/>
      </w:divBdr>
    </w:div>
    <w:div w:id="1351684401">
      <w:marLeft w:val="0"/>
      <w:marRight w:val="0"/>
      <w:marTop w:val="0"/>
      <w:marBottom w:val="0"/>
      <w:divBdr>
        <w:top w:val="none" w:sz="0" w:space="0" w:color="auto"/>
        <w:left w:val="none" w:sz="0" w:space="0" w:color="auto"/>
        <w:bottom w:val="none" w:sz="0" w:space="0" w:color="auto"/>
        <w:right w:val="none" w:sz="0" w:space="0" w:color="auto"/>
      </w:divBdr>
    </w:div>
    <w:div w:id="1351684402">
      <w:marLeft w:val="0"/>
      <w:marRight w:val="0"/>
      <w:marTop w:val="0"/>
      <w:marBottom w:val="0"/>
      <w:divBdr>
        <w:top w:val="none" w:sz="0" w:space="0" w:color="auto"/>
        <w:left w:val="none" w:sz="0" w:space="0" w:color="auto"/>
        <w:bottom w:val="none" w:sz="0" w:space="0" w:color="auto"/>
        <w:right w:val="none" w:sz="0" w:space="0" w:color="auto"/>
      </w:divBdr>
    </w:div>
    <w:div w:id="1351684403">
      <w:marLeft w:val="0"/>
      <w:marRight w:val="0"/>
      <w:marTop w:val="0"/>
      <w:marBottom w:val="0"/>
      <w:divBdr>
        <w:top w:val="none" w:sz="0" w:space="0" w:color="auto"/>
        <w:left w:val="none" w:sz="0" w:space="0" w:color="auto"/>
        <w:bottom w:val="none" w:sz="0" w:space="0" w:color="auto"/>
        <w:right w:val="none" w:sz="0" w:space="0" w:color="auto"/>
      </w:divBdr>
    </w:div>
    <w:div w:id="1351684404">
      <w:marLeft w:val="0"/>
      <w:marRight w:val="0"/>
      <w:marTop w:val="0"/>
      <w:marBottom w:val="0"/>
      <w:divBdr>
        <w:top w:val="none" w:sz="0" w:space="0" w:color="auto"/>
        <w:left w:val="none" w:sz="0" w:space="0" w:color="auto"/>
        <w:bottom w:val="none" w:sz="0" w:space="0" w:color="auto"/>
        <w:right w:val="none" w:sz="0" w:space="0" w:color="auto"/>
      </w:divBdr>
    </w:div>
    <w:div w:id="1351684405">
      <w:marLeft w:val="0"/>
      <w:marRight w:val="0"/>
      <w:marTop w:val="0"/>
      <w:marBottom w:val="0"/>
      <w:divBdr>
        <w:top w:val="none" w:sz="0" w:space="0" w:color="auto"/>
        <w:left w:val="none" w:sz="0" w:space="0" w:color="auto"/>
        <w:bottom w:val="none" w:sz="0" w:space="0" w:color="auto"/>
        <w:right w:val="none" w:sz="0" w:space="0" w:color="auto"/>
      </w:divBdr>
    </w:div>
    <w:div w:id="1351684407">
      <w:marLeft w:val="0"/>
      <w:marRight w:val="0"/>
      <w:marTop w:val="0"/>
      <w:marBottom w:val="0"/>
      <w:divBdr>
        <w:top w:val="none" w:sz="0" w:space="0" w:color="auto"/>
        <w:left w:val="none" w:sz="0" w:space="0" w:color="auto"/>
        <w:bottom w:val="none" w:sz="0" w:space="0" w:color="auto"/>
        <w:right w:val="none" w:sz="0" w:space="0" w:color="auto"/>
      </w:divBdr>
    </w:div>
    <w:div w:id="1351684408">
      <w:marLeft w:val="0"/>
      <w:marRight w:val="0"/>
      <w:marTop w:val="0"/>
      <w:marBottom w:val="0"/>
      <w:divBdr>
        <w:top w:val="none" w:sz="0" w:space="0" w:color="auto"/>
        <w:left w:val="none" w:sz="0" w:space="0" w:color="auto"/>
        <w:bottom w:val="none" w:sz="0" w:space="0" w:color="auto"/>
        <w:right w:val="none" w:sz="0" w:space="0" w:color="auto"/>
      </w:divBdr>
    </w:div>
    <w:div w:id="1351684409">
      <w:marLeft w:val="0"/>
      <w:marRight w:val="0"/>
      <w:marTop w:val="0"/>
      <w:marBottom w:val="0"/>
      <w:divBdr>
        <w:top w:val="none" w:sz="0" w:space="0" w:color="auto"/>
        <w:left w:val="none" w:sz="0" w:space="0" w:color="auto"/>
        <w:bottom w:val="none" w:sz="0" w:space="0" w:color="auto"/>
        <w:right w:val="none" w:sz="0" w:space="0" w:color="auto"/>
      </w:divBdr>
    </w:div>
    <w:div w:id="1351684410">
      <w:marLeft w:val="0"/>
      <w:marRight w:val="0"/>
      <w:marTop w:val="0"/>
      <w:marBottom w:val="0"/>
      <w:divBdr>
        <w:top w:val="none" w:sz="0" w:space="0" w:color="auto"/>
        <w:left w:val="none" w:sz="0" w:space="0" w:color="auto"/>
        <w:bottom w:val="none" w:sz="0" w:space="0" w:color="auto"/>
        <w:right w:val="none" w:sz="0" w:space="0" w:color="auto"/>
      </w:divBdr>
    </w:div>
    <w:div w:id="1351684411">
      <w:marLeft w:val="0"/>
      <w:marRight w:val="0"/>
      <w:marTop w:val="0"/>
      <w:marBottom w:val="0"/>
      <w:divBdr>
        <w:top w:val="none" w:sz="0" w:space="0" w:color="auto"/>
        <w:left w:val="none" w:sz="0" w:space="0" w:color="auto"/>
        <w:bottom w:val="none" w:sz="0" w:space="0" w:color="auto"/>
        <w:right w:val="none" w:sz="0" w:space="0" w:color="auto"/>
      </w:divBdr>
    </w:div>
    <w:div w:id="1351684412">
      <w:marLeft w:val="0"/>
      <w:marRight w:val="0"/>
      <w:marTop w:val="0"/>
      <w:marBottom w:val="0"/>
      <w:divBdr>
        <w:top w:val="none" w:sz="0" w:space="0" w:color="auto"/>
        <w:left w:val="none" w:sz="0" w:space="0" w:color="auto"/>
        <w:bottom w:val="none" w:sz="0" w:space="0" w:color="auto"/>
        <w:right w:val="none" w:sz="0" w:space="0" w:color="auto"/>
      </w:divBdr>
    </w:div>
    <w:div w:id="1351684413">
      <w:marLeft w:val="0"/>
      <w:marRight w:val="0"/>
      <w:marTop w:val="0"/>
      <w:marBottom w:val="0"/>
      <w:divBdr>
        <w:top w:val="none" w:sz="0" w:space="0" w:color="auto"/>
        <w:left w:val="none" w:sz="0" w:space="0" w:color="auto"/>
        <w:bottom w:val="none" w:sz="0" w:space="0" w:color="auto"/>
        <w:right w:val="none" w:sz="0" w:space="0" w:color="auto"/>
      </w:divBdr>
    </w:div>
    <w:div w:id="1351684414">
      <w:marLeft w:val="0"/>
      <w:marRight w:val="0"/>
      <w:marTop w:val="0"/>
      <w:marBottom w:val="0"/>
      <w:divBdr>
        <w:top w:val="none" w:sz="0" w:space="0" w:color="auto"/>
        <w:left w:val="none" w:sz="0" w:space="0" w:color="auto"/>
        <w:bottom w:val="none" w:sz="0" w:space="0" w:color="auto"/>
        <w:right w:val="none" w:sz="0" w:space="0" w:color="auto"/>
      </w:divBdr>
    </w:div>
    <w:div w:id="1351684415">
      <w:marLeft w:val="0"/>
      <w:marRight w:val="0"/>
      <w:marTop w:val="0"/>
      <w:marBottom w:val="0"/>
      <w:divBdr>
        <w:top w:val="none" w:sz="0" w:space="0" w:color="auto"/>
        <w:left w:val="none" w:sz="0" w:space="0" w:color="auto"/>
        <w:bottom w:val="none" w:sz="0" w:space="0" w:color="auto"/>
        <w:right w:val="none" w:sz="0" w:space="0" w:color="auto"/>
      </w:divBdr>
    </w:div>
    <w:div w:id="1351684416">
      <w:marLeft w:val="0"/>
      <w:marRight w:val="0"/>
      <w:marTop w:val="0"/>
      <w:marBottom w:val="0"/>
      <w:divBdr>
        <w:top w:val="none" w:sz="0" w:space="0" w:color="auto"/>
        <w:left w:val="none" w:sz="0" w:space="0" w:color="auto"/>
        <w:bottom w:val="none" w:sz="0" w:space="0" w:color="auto"/>
        <w:right w:val="none" w:sz="0" w:space="0" w:color="auto"/>
      </w:divBdr>
    </w:div>
    <w:div w:id="1351684417">
      <w:marLeft w:val="0"/>
      <w:marRight w:val="0"/>
      <w:marTop w:val="0"/>
      <w:marBottom w:val="0"/>
      <w:divBdr>
        <w:top w:val="none" w:sz="0" w:space="0" w:color="auto"/>
        <w:left w:val="none" w:sz="0" w:space="0" w:color="auto"/>
        <w:bottom w:val="none" w:sz="0" w:space="0" w:color="auto"/>
        <w:right w:val="none" w:sz="0" w:space="0" w:color="auto"/>
      </w:divBdr>
    </w:div>
    <w:div w:id="1351684418">
      <w:marLeft w:val="0"/>
      <w:marRight w:val="0"/>
      <w:marTop w:val="0"/>
      <w:marBottom w:val="0"/>
      <w:divBdr>
        <w:top w:val="none" w:sz="0" w:space="0" w:color="auto"/>
        <w:left w:val="none" w:sz="0" w:space="0" w:color="auto"/>
        <w:bottom w:val="none" w:sz="0" w:space="0" w:color="auto"/>
        <w:right w:val="none" w:sz="0" w:space="0" w:color="auto"/>
      </w:divBdr>
    </w:div>
    <w:div w:id="1351684419">
      <w:marLeft w:val="0"/>
      <w:marRight w:val="0"/>
      <w:marTop w:val="0"/>
      <w:marBottom w:val="0"/>
      <w:divBdr>
        <w:top w:val="none" w:sz="0" w:space="0" w:color="auto"/>
        <w:left w:val="none" w:sz="0" w:space="0" w:color="auto"/>
        <w:bottom w:val="none" w:sz="0" w:space="0" w:color="auto"/>
        <w:right w:val="none" w:sz="0" w:space="0" w:color="auto"/>
      </w:divBdr>
    </w:div>
    <w:div w:id="1351684420">
      <w:marLeft w:val="0"/>
      <w:marRight w:val="0"/>
      <w:marTop w:val="0"/>
      <w:marBottom w:val="0"/>
      <w:divBdr>
        <w:top w:val="none" w:sz="0" w:space="0" w:color="auto"/>
        <w:left w:val="none" w:sz="0" w:space="0" w:color="auto"/>
        <w:bottom w:val="none" w:sz="0" w:space="0" w:color="auto"/>
        <w:right w:val="none" w:sz="0" w:space="0" w:color="auto"/>
      </w:divBdr>
    </w:div>
    <w:div w:id="1351684421">
      <w:marLeft w:val="0"/>
      <w:marRight w:val="0"/>
      <w:marTop w:val="0"/>
      <w:marBottom w:val="0"/>
      <w:divBdr>
        <w:top w:val="none" w:sz="0" w:space="0" w:color="auto"/>
        <w:left w:val="none" w:sz="0" w:space="0" w:color="auto"/>
        <w:bottom w:val="none" w:sz="0" w:space="0" w:color="auto"/>
        <w:right w:val="none" w:sz="0" w:space="0" w:color="auto"/>
      </w:divBdr>
    </w:div>
    <w:div w:id="1351684422">
      <w:marLeft w:val="0"/>
      <w:marRight w:val="0"/>
      <w:marTop w:val="0"/>
      <w:marBottom w:val="0"/>
      <w:divBdr>
        <w:top w:val="none" w:sz="0" w:space="0" w:color="auto"/>
        <w:left w:val="none" w:sz="0" w:space="0" w:color="auto"/>
        <w:bottom w:val="none" w:sz="0" w:space="0" w:color="auto"/>
        <w:right w:val="none" w:sz="0" w:space="0" w:color="auto"/>
      </w:divBdr>
    </w:div>
    <w:div w:id="13516844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mailto:info@sev.org.gr"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eader" Target="header2.xml"/><Relationship Id="rId42" Type="http://schemas.openxmlformats.org/officeDocument/2006/relationships/hyperlink" Target="https://www.linkedin.com/company/sev-hellenic-federation-of-enteprises?trk=tyah&amp;trkInfo=tarId:1455633022674,tas:sev+hell,idx:1-1-1" TargetMode="External"/><Relationship Id="rId47" Type="http://schemas.openxmlformats.org/officeDocument/2006/relationships/image" Target="media/image24.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sev.org.gr/Uploads/Documents/48943/weekly_29102015.pdf" TargetMode="External"/><Relationship Id="rId17" Type="http://schemas.openxmlformats.org/officeDocument/2006/relationships/image" Target="media/image7.png"/><Relationship Id="rId25" Type="http://schemas.openxmlformats.org/officeDocument/2006/relationships/oleObject" Target="embeddings/oleObject1.bin"/><Relationship Id="rId33" Type="http://schemas.openxmlformats.org/officeDocument/2006/relationships/header" Target="header1.xml"/><Relationship Id="rId38" Type="http://schemas.openxmlformats.org/officeDocument/2006/relationships/image" Target="media/image20.jpeg"/><Relationship Id="rId46" Type="http://schemas.openxmlformats.org/officeDocument/2006/relationships/hyperlink" Target="https://www.youtube.com/channel/UCAYjK0gqOe_WVHYRBagCfMQ"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hyperlink" Target="mailto:main@sevbxl.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ev.org.gr/Uploads/Documents/49130/weekly_11_2_2016.pdf" TargetMode="External"/><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footer" Target="footer2.xml"/><Relationship Id="rId40" Type="http://schemas.openxmlformats.org/officeDocument/2006/relationships/hyperlink" Target="http://www.sev.org.gr" TargetMode="External"/><Relationship Id="rId45"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ec.europa.eu/taxation_customs/taxation/gen_info/info_docs/tax_inventory/index_en.htm" TargetMode="External"/><Relationship Id="rId36" Type="http://schemas.openxmlformats.org/officeDocument/2006/relationships/header" Target="header3.xml"/><Relationship Id="rId49" Type="http://schemas.openxmlformats.org/officeDocument/2006/relationships/footer" Target="footer3.xml"/><Relationship Id="rId10" Type="http://schemas.openxmlformats.org/officeDocument/2006/relationships/hyperlink" Target="http://www.sev.org.gr/Uploads/Documents/48970/%CE%95%CE%92%CE%94%CE%9F%CE%9C%CE%91%CE%94%CE%99%CE%91%CE%99%CE%9F12_11_2015.pdf" TargetMode="Externa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hyperlink" Target="https://twitter.com/SEV_Fed" TargetMode="External"/><Relationship Id="rId4" Type="http://schemas.openxmlformats.org/officeDocument/2006/relationships/webSettings" Target="webSettings.xml"/><Relationship Id="rId9" Type="http://schemas.openxmlformats.org/officeDocument/2006/relationships/hyperlink" Target="http://www.sev.org.gr/Uploads/Documents/49174/weekly_25_2_2016.pdf"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oleObject" Target="embeddings/oleObject2.bin"/><Relationship Id="rId30" Type="http://schemas.openxmlformats.org/officeDocument/2006/relationships/oleObject" Target="embeddings/oleObject3.bin"/><Relationship Id="rId35" Type="http://schemas.openxmlformats.org/officeDocument/2006/relationships/footer" Target="footer1.xml"/><Relationship Id="rId43" Type="http://schemas.openxmlformats.org/officeDocument/2006/relationships/image" Target="media/image22.png"/><Relationship Id="rId48" Type="http://schemas.openxmlformats.org/officeDocument/2006/relationships/header" Target="header4.xml"/><Relationship Id="rId8" Type="http://schemas.openxmlformats.org/officeDocument/2006/relationships/image" Target="media/image2.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mailto:printsipas@sev.org.gr" TargetMode="External"/><Relationship Id="rId2" Type="http://schemas.openxmlformats.org/officeDocument/2006/relationships/hyperlink" Target="mailto:mmitsopoulos@sev.org.gr" TargetMode="External"/><Relationship Id="rId1" Type="http://schemas.openxmlformats.org/officeDocument/2006/relationships/hyperlink" Target="mailto:mmassourakis@sev.org.gr" TargetMode="External"/><Relationship Id="rId4"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_rels/header4.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Pages>
  <Words>4066</Words>
  <Characters>21959</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SKERTSOS AKIS</dc:creator>
  <cp:keywords/>
  <dc:description/>
  <cp:lastModifiedBy>nypofantis</cp:lastModifiedBy>
  <cp:revision>2</cp:revision>
  <cp:lastPrinted>2016-03-11T15:43:00Z</cp:lastPrinted>
  <dcterms:created xsi:type="dcterms:W3CDTF">2016-03-17T10:35:00Z</dcterms:created>
  <dcterms:modified xsi:type="dcterms:W3CDTF">2016-03-17T10:35:00Z</dcterms:modified>
</cp:coreProperties>
</file>