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A4D" w:rsidRPr="005B37EF" w:rsidRDefault="002F0A4D" w:rsidP="00A71C98">
      <w:pPr>
        <w:rPr>
          <w:lang w:val="en-US"/>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37" type="#_x0000_t75" style="position:absolute;margin-left:323.45pt;margin-top:21.1pt;width:212pt;height:19.05pt;z-index:251658752;visibility:visible">
            <v:imagedata r:id="rId7" o:title=""/>
            <w10:wrap type="square"/>
          </v:shape>
        </w:pict>
      </w:r>
    </w:p>
    <w:p w:rsidR="002F0A4D" w:rsidRDefault="002F0A4D" w:rsidP="00B226E2">
      <w:pPr>
        <w:tabs>
          <w:tab w:val="left" w:pos="7032"/>
        </w:tabs>
        <w:rPr>
          <w:b/>
          <w:bCs/>
          <w:color w:val="1F497D"/>
          <w:sz w:val="28"/>
          <w:szCs w:val="28"/>
          <w:lang w:val="en-US"/>
        </w:rPr>
      </w:pPr>
      <w:r>
        <w:rPr>
          <w:b/>
          <w:bCs/>
          <w:color w:val="1F497D"/>
          <w:sz w:val="28"/>
          <w:szCs w:val="28"/>
          <w:lang w:val="en-US"/>
        </w:rPr>
        <w:tab/>
      </w:r>
    </w:p>
    <w:p w:rsidR="002F0A4D" w:rsidRPr="003D5276" w:rsidRDefault="002F0A4D" w:rsidP="00AC2A58">
      <w:pPr>
        <w:shd w:val="clear" w:color="auto" w:fill="D9D9D9"/>
        <w:tabs>
          <w:tab w:val="left" w:pos="1913"/>
          <w:tab w:val="left" w:pos="7938"/>
        </w:tabs>
        <w:spacing w:after="0"/>
        <w:rPr>
          <w:b/>
          <w:bCs/>
          <w:color w:val="1F497D"/>
          <w:sz w:val="28"/>
          <w:szCs w:val="28"/>
        </w:rPr>
      </w:pPr>
      <w:r>
        <w:rPr>
          <w:b/>
          <w:bCs/>
          <w:color w:val="1F497D"/>
          <w:sz w:val="28"/>
          <w:szCs w:val="28"/>
        </w:rPr>
        <w:t xml:space="preserve">Αναζητώντας τον χαμένο χρόνο!                                                                     </w:t>
      </w:r>
      <w:r w:rsidRPr="003D5276">
        <w:rPr>
          <w:b/>
          <w:bCs/>
          <w:color w:val="1F497D"/>
          <w:sz w:val="28"/>
          <w:szCs w:val="28"/>
        </w:rPr>
        <w:t>15</w:t>
      </w:r>
      <w:r>
        <w:rPr>
          <w:b/>
          <w:bCs/>
          <w:color w:val="1F497D"/>
          <w:sz w:val="28"/>
          <w:szCs w:val="28"/>
        </w:rPr>
        <w:t>Οκτωβρίου</w:t>
      </w:r>
      <w:r w:rsidRPr="003D5276">
        <w:rPr>
          <w:b/>
          <w:bCs/>
          <w:color w:val="1F497D"/>
          <w:sz w:val="28"/>
          <w:szCs w:val="28"/>
        </w:rPr>
        <w:t xml:space="preserve"> 2015</w:t>
      </w:r>
    </w:p>
    <w:tbl>
      <w:tblPr>
        <w:tblW w:w="11146" w:type="dxa"/>
        <w:tblInd w:w="-106" w:type="dxa"/>
        <w:tblLayout w:type="fixed"/>
        <w:tblLook w:val="00A0"/>
      </w:tblPr>
      <w:tblGrid>
        <w:gridCol w:w="3453"/>
        <w:gridCol w:w="1968"/>
        <w:gridCol w:w="5725"/>
      </w:tblGrid>
      <w:tr w:rsidR="002F0A4D" w:rsidRPr="00A14E7D">
        <w:trPr>
          <w:cantSplit/>
          <w:trHeight w:val="7078"/>
        </w:trPr>
        <w:tc>
          <w:tcPr>
            <w:tcW w:w="11023" w:type="dxa"/>
            <w:gridSpan w:val="3"/>
          </w:tcPr>
          <w:p w:rsidR="002F0A4D" w:rsidRPr="00A14E7D" w:rsidRDefault="002F0A4D" w:rsidP="00A14E7D">
            <w:pPr>
              <w:spacing w:after="0" w:line="240" w:lineRule="auto"/>
              <w:jc w:val="both"/>
              <w:rPr>
                <w:b/>
                <w:bCs/>
                <w:noProof/>
                <w:color w:val="595959"/>
              </w:rPr>
            </w:pPr>
          </w:p>
          <w:p w:rsidR="002F0A4D" w:rsidRPr="00A14E7D" w:rsidRDefault="002F0A4D" w:rsidP="00A14E7D">
            <w:pPr>
              <w:spacing w:after="0" w:line="240" w:lineRule="auto"/>
              <w:jc w:val="both"/>
              <w:rPr>
                <w:b/>
                <w:bCs/>
                <w:noProof/>
                <w:color w:val="595959"/>
              </w:rPr>
            </w:pPr>
          </w:p>
          <w:p w:rsidR="002F0A4D" w:rsidRPr="00A14E7D" w:rsidRDefault="002F0A4D" w:rsidP="00A14E7D">
            <w:pPr>
              <w:spacing w:after="120" w:line="240" w:lineRule="auto"/>
              <w:jc w:val="both"/>
              <w:rPr>
                <w:b/>
                <w:bCs/>
                <w:noProof/>
                <w:color w:val="000000"/>
                <w:sz w:val="28"/>
                <w:szCs w:val="28"/>
              </w:rPr>
            </w:pPr>
            <w:r w:rsidRPr="00A14E7D">
              <w:rPr>
                <w:b/>
                <w:bCs/>
                <w:noProof/>
                <w:color w:val="595959"/>
                <w:sz w:val="28"/>
                <w:szCs w:val="28"/>
              </w:rPr>
              <w:t>Επισκόπηση</w:t>
            </w:r>
          </w:p>
          <w:p w:rsidR="002F0A4D" w:rsidRPr="00A14E7D" w:rsidRDefault="002F0A4D" w:rsidP="00A14E7D">
            <w:pPr>
              <w:pStyle w:val="ListParagraph"/>
              <w:numPr>
                <w:ilvl w:val="0"/>
                <w:numId w:val="35"/>
              </w:numPr>
              <w:spacing w:after="0" w:line="240" w:lineRule="auto"/>
              <w:jc w:val="both"/>
              <w:rPr>
                <w:b/>
                <w:bCs/>
                <w:noProof/>
                <w:color w:val="000000"/>
                <w:sz w:val="19"/>
                <w:szCs w:val="19"/>
              </w:rPr>
            </w:pPr>
            <w:r w:rsidRPr="00A14E7D">
              <w:rPr>
                <w:b/>
                <w:bCs/>
                <w:noProof/>
                <w:color w:val="000000"/>
                <w:sz w:val="19"/>
                <w:szCs w:val="19"/>
              </w:rPr>
              <w:t>Η ελληνική οικονομία και κοινωνία βιώνουν τις αλλαγές πολιτικής που επιβάλλει το 3ο Μνημόνιο σε μία προσπάθεια εφαρμογής των μεταρρυθμίσεων που είχαν συμφωνηθεί στο παρελθόν σε πορεία υλοποίησης, καθώς και αναστροφής των μέτρων που εφαρμόσθηκαν από την αρχή του έτους και τα οποία κρίθηκαν ανεπαρκή ή μη συμβατά με τους στόχους του προγράμματος. Στο πλαίσιο αυτό, ο εξορθολογισμός του φορολογικού συστήματος και του συστήματος κοινωνικής ασφάλισης προβάλλει ως αδήριτη ανάγκη για την αποκατάσταση στοιχειωδών κανόνων προγραμματισμού στις επιχειρήσεις και τα νοικοκυριά. Οι πολίτες έχουν κατανοήσει την αναγκαιότητα της προσαρμογής. Αυτό, όμως, επ’ ουδενί  δεν μπορεί να σημαίνει την εφαρμογή πολιτικών που ακυρώνουν τα κίνητρα για εργασία και ανάληψη επιχειρηματικής δράσης.</w:t>
            </w:r>
          </w:p>
          <w:p w:rsidR="002F0A4D" w:rsidRPr="00A14E7D" w:rsidRDefault="002F0A4D" w:rsidP="00A14E7D">
            <w:pPr>
              <w:pStyle w:val="ListParagraph"/>
              <w:numPr>
                <w:ilvl w:val="0"/>
                <w:numId w:val="35"/>
              </w:numPr>
              <w:spacing w:after="0" w:line="240" w:lineRule="auto"/>
              <w:jc w:val="both"/>
              <w:rPr>
                <w:color w:val="7030A0"/>
                <w:sz w:val="16"/>
                <w:szCs w:val="16"/>
              </w:rPr>
            </w:pPr>
            <w:r w:rsidRPr="00A14E7D">
              <w:rPr>
                <w:b/>
                <w:bCs/>
                <w:noProof/>
                <w:color w:val="000000"/>
                <w:sz w:val="19"/>
                <w:szCs w:val="19"/>
              </w:rPr>
              <w:t xml:space="preserve">Όσον αφορά ειδικότερα στο ασφαλιστικό σύστημα, πολιτικές που εστιάζουν σε περικοπές μόνο των υψηλότερων συντάξεων -των οποίων οι δικαιούχοι έχουν καταβάλλει και τις μεγαλύτερες εισφορές- αποδομούν την αρχή της συνταξιοδοτικής δικαιοσύνης και της ανταποδοτικότητας του συστήματος. Όταν τιμωρούνται όσοι με συνέπεια καταβάλουν εισφορές και δεν υπάρχουν διακριτές διαχωριστικές γραμμές μεταξύ  του συνταξιοδοτικού συστήματος και της άσκησης κοινωνικής πολιτικής, τότε μειώνεται η πίστη των πολιτών στις αναγκαίες αλλαγές και μεταρρυθμίσεις που θα μας οδηγήσουν σε ένα πιο δίκαιο και ανταποδοτικό σύστημα. Στο πλαίσιο αυτό, το σημερινό πόρισμα της επιτροπής σοφών για το ασφαλιστικό σύστημα προτείνει μία εθνική/κοινωνική σύνταξη, που θα χορηγείται με εισοδηματικά κριτήρια και θα επιτελεί το ρόλο ελάχιστου εγγυημένου εισοδήματος, συνεπικουρούμενη από μια αναλογική σύνταξη. Επισημαίνουμε ότι ο διαχωρισμός της χρηματοδότησης των δύο συντάξεων, από φορολογικές και ασφαλιστικές εισφορές αντίστοιχα, αποτελεί sine qua non όρο για να μπει επιτέλους τάξη στο ασφαλιστικό σύστημα. Ανησυχούμε σφόδρα επίσης όταν διαβάζουμε ότι η μετάβαση στο νέο σύστημα θα απαιτήσει, σύμφωνα με το πόρισμα, την προσφυγή σε νέους φόρους εισοδήματος και περιουσίας στους συνεπείς φορολογουμένους για την βιωσιμότητά του, ως εάν να υπάρχει απύθμενη φοροδοτική ικανότητα σε μία χώρα που δεν αναπτύσσεται και μια κοινωνία που δυσανασχετεί με τον ΕΝΦΙΑ. Σε κάθε περίπτωση το ασφαλιστικό σύστημα πρέπει να αναμορφωθεί ριζικά, δίδοντας τη σημασία που αρμόζει στην μη υποχρεωτική ασφάλιση σύμφωνα με τα ευρωπαϊκά πρότυπα (2ος και 3ος πυλώνας, δηλαδή επαγγελματικά ταμεία και ιδιωτική ασφάλιση). Παράλληλα είναι επιτακτικό το νέο σύστημα να μειώσει το μη μισθολογικό κόστος που πλήττει σημαντικά την ανταγωνιστικότητα των Ελληνικών επιχειρήσεων και των εργαζομένων τους, και να δημιουργήσει προϋποθέσεις για δραστική μείωση της αδήλωτης εργασίας κάθε μορφής. </w:t>
            </w:r>
          </w:p>
          <w:p w:rsidR="002F0A4D" w:rsidRPr="00A14E7D" w:rsidRDefault="002F0A4D" w:rsidP="00A14E7D">
            <w:pPr>
              <w:spacing w:after="0" w:line="240" w:lineRule="auto"/>
              <w:ind w:left="720"/>
              <w:jc w:val="both"/>
              <w:rPr>
                <w:color w:val="7030A0"/>
                <w:sz w:val="16"/>
                <w:szCs w:val="16"/>
              </w:rPr>
            </w:pPr>
          </w:p>
        </w:tc>
      </w:tr>
      <w:tr w:rsidR="002F0A4D" w:rsidRPr="00A14E7D">
        <w:trPr>
          <w:cantSplit/>
          <w:trHeight w:hRule="exact" w:val="5253"/>
        </w:trPr>
        <w:tc>
          <w:tcPr>
            <w:tcW w:w="3453" w:type="dxa"/>
          </w:tcPr>
          <w:p w:rsidR="002F0A4D" w:rsidRPr="00A14E7D" w:rsidRDefault="002F0A4D" w:rsidP="00A14E7D">
            <w:pPr>
              <w:spacing w:after="0" w:line="240" w:lineRule="auto"/>
              <w:rPr>
                <w:b/>
                <w:bCs/>
              </w:rPr>
            </w:pPr>
          </w:p>
        </w:tc>
        <w:tc>
          <w:tcPr>
            <w:tcW w:w="7570" w:type="dxa"/>
            <w:gridSpan w:val="2"/>
          </w:tcPr>
          <w:tbl>
            <w:tblPr>
              <w:tblW w:w="0" w:type="auto"/>
              <w:tblLayout w:type="fixed"/>
              <w:tblLook w:val="00A0"/>
            </w:tblPr>
            <w:tblGrid>
              <w:gridCol w:w="6612"/>
              <w:gridCol w:w="302"/>
            </w:tblGrid>
            <w:tr w:rsidR="002F0A4D" w:rsidRPr="00A14E7D">
              <w:trPr>
                <w:trHeight w:val="5312"/>
              </w:trPr>
              <w:tc>
                <w:tcPr>
                  <w:tcW w:w="6612" w:type="dxa"/>
                </w:tcPr>
                <w:p w:rsidR="002F0A4D" w:rsidRPr="00A14E7D" w:rsidRDefault="002F0A4D" w:rsidP="00A14E7D">
                  <w:pPr>
                    <w:spacing w:after="0" w:line="240" w:lineRule="auto"/>
                    <w:rPr>
                      <w:b/>
                      <w:bCs/>
                      <w:color w:val="7030A0"/>
                      <w:sz w:val="28"/>
                      <w:szCs w:val="28"/>
                    </w:rPr>
                  </w:pPr>
                  <w:r w:rsidRPr="00A14E7D">
                    <w:rPr>
                      <w:b/>
                      <w:bCs/>
                      <w:color w:val="7030A0"/>
                      <w:sz w:val="28"/>
                      <w:szCs w:val="28"/>
                    </w:rPr>
                    <w:t>Θέλει αρετή και τόλμη …</w:t>
                  </w:r>
                </w:p>
                <w:p w:rsidR="002F0A4D" w:rsidRPr="00A14E7D" w:rsidRDefault="002F0A4D" w:rsidP="00A14E7D">
                  <w:pPr>
                    <w:spacing w:after="0" w:line="240" w:lineRule="auto"/>
                    <w:rPr>
                      <w:color w:val="7030A0"/>
                    </w:rPr>
                  </w:pPr>
                  <w:r w:rsidRPr="00A14E7D">
                    <w:rPr>
                      <w:color w:val="7030A0"/>
                    </w:rPr>
                    <w:t>Έσοδα, πρωτογενείς δαπάνες, πρωτογενές πλεόνασμα και χρέος Γενικής Κυβέρνησης ως ποσοστό του ΑΕΠ</w:t>
                  </w:r>
                </w:p>
                <w:p w:rsidR="002F0A4D" w:rsidRPr="00A14E7D" w:rsidRDefault="002F0A4D" w:rsidP="00A14E7D">
                  <w:pPr>
                    <w:spacing w:after="0" w:line="240" w:lineRule="auto"/>
                    <w:rPr>
                      <w:color w:val="7030A0"/>
                    </w:rPr>
                  </w:pPr>
                  <w:r w:rsidRPr="00A14E7D">
                    <w:rPr>
                      <w:color w:val="7030A0"/>
                    </w:rPr>
                    <w:t xml:space="preserve">(IMF, </w:t>
                  </w:r>
                  <w:hyperlink r:id="rId8" w:history="1">
                    <w:r w:rsidRPr="00A14E7D">
                      <w:rPr>
                        <w:rStyle w:val="Hyperlink"/>
                        <w:noProof/>
                      </w:rPr>
                      <w:t>Fiscal Monitor</w:t>
                    </w:r>
                  </w:hyperlink>
                  <w:r w:rsidRPr="00A14E7D">
                    <w:rPr>
                      <w:color w:val="7030A0"/>
                    </w:rPr>
                    <w:t>, Οκτ. 2015)</w:t>
                  </w:r>
                </w:p>
                <w:p w:rsidR="002F0A4D" w:rsidRPr="00A14E7D" w:rsidRDefault="002F0A4D" w:rsidP="00A14E7D">
                  <w:pPr>
                    <w:spacing w:after="0" w:line="240" w:lineRule="auto"/>
                  </w:pPr>
                  <w:r w:rsidRPr="00A14E7D">
                    <w:rPr>
                      <w:noProof/>
                      <w:lang w:eastAsia="el-GR"/>
                    </w:rPr>
                    <w:pict>
                      <v:shape id="Picture 18" o:spid="_x0000_i1025" type="#_x0000_t75" alt="cid:image002.png@01D10522.2B9E5A00" style="width:303pt;height:197.25pt;visibility:visible">
                        <v:imagedata r:id="rId9" r:href="rId10"/>
                      </v:shape>
                    </w:pict>
                  </w:r>
                </w:p>
                <w:p w:rsidR="002F0A4D" w:rsidRPr="00A14E7D" w:rsidRDefault="002F0A4D" w:rsidP="00A14E7D">
                  <w:pPr>
                    <w:spacing w:after="0" w:line="240" w:lineRule="auto"/>
                  </w:pPr>
                </w:p>
                <w:p w:rsidR="002F0A4D" w:rsidRPr="00A14E7D" w:rsidRDefault="002F0A4D" w:rsidP="00A14E7D">
                  <w:pPr>
                    <w:spacing w:after="0" w:line="240" w:lineRule="auto"/>
                  </w:pPr>
                </w:p>
              </w:tc>
              <w:tc>
                <w:tcPr>
                  <w:tcW w:w="302" w:type="dxa"/>
                </w:tcPr>
                <w:p w:rsidR="002F0A4D" w:rsidRPr="00A14E7D" w:rsidRDefault="002F0A4D" w:rsidP="00A14E7D">
                  <w:pPr>
                    <w:spacing w:after="0" w:line="240" w:lineRule="auto"/>
                  </w:pPr>
                </w:p>
              </w:tc>
            </w:tr>
          </w:tbl>
          <w:p w:rsidR="002F0A4D" w:rsidRPr="00A14E7D" w:rsidRDefault="002F0A4D" w:rsidP="00A14E7D">
            <w:pPr>
              <w:spacing w:after="0" w:line="240" w:lineRule="auto"/>
              <w:rPr>
                <w:noProof/>
              </w:rPr>
            </w:pPr>
          </w:p>
          <w:p w:rsidR="002F0A4D" w:rsidRPr="00A14E7D" w:rsidRDefault="002F0A4D" w:rsidP="00A14E7D">
            <w:pPr>
              <w:spacing w:after="0" w:line="240" w:lineRule="auto"/>
              <w:rPr>
                <w:noProof/>
              </w:rPr>
            </w:pPr>
          </w:p>
          <w:p w:rsidR="002F0A4D" w:rsidRPr="00A14E7D" w:rsidRDefault="002F0A4D" w:rsidP="00A14E7D">
            <w:pPr>
              <w:spacing w:after="0" w:line="240" w:lineRule="auto"/>
              <w:rPr>
                <w:noProof/>
              </w:rPr>
            </w:pPr>
          </w:p>
          <w:p w:rsidR="002F0A4D" w:rsidRPr="00A14E7D" w:rsidRDefault="002F0A4D" w:rsidP="00A14E7D">
            <w:pPr>
              <w:spacing w:after="0" w:line="240" w:lineRule="auto"/>
              <w:rPr>
                <w:noProof/>
              </w:rPr>
            </w:pPr>
          </w:p>
          <w:p w:rsidR="002F0A4D" w:rsidRPr="00A14E7D" w:rsidRDefault="002F0A4D" w:rsidP="00A14E7D">
            <w:pPr>
              <w:spacing w:after="0" w:line="240" w:lineRule="auto"/>
            </w:pPr>
          </w:p>
          <w:p w:rsidR="002F0A4D" w:rsidRPr="00A14E7D" w:rsidRDefault="002F0A4D" w:rsidP="00A14E7D">
            <w:pPr>
              <w:spacing w:after="0" w:line="240" w:lineRule="auto"/>
            </w:pPr>
          </w:p>
        </w:tc>
      </w:tr>
      <w:tr w:rsidR="002F0A4D" w:rsidRPr="00A14E7D">
        <w:tblPrEx>
          <w:jc w:val="center"/>
        </w:tblPrEx>
        <w:trPr>
          <w:trHeight w:val="13610"/>
          <w:jc w:val="center"/>
        </w:trPr>
        <w:tc>
          <w:tcPr>
            <w:tcW w:w="5421" w:type="dxa"/>
            <w:gridSpan w:val="2"/>
          </w:tcPr>
          <w:p w:rsidR="002F0A4D" w:rsidRPr="00A14E7D" w:rsidRDefault="002F0A4D" w:rsidP="00A14E7D">
            <w:pPr>
              <w:spacing w:before="2" w:after="0" w:line="214" w:lineRule="auto"/>
              <w:jc w:val="both"/>
              <w:rPr>
                <w:b/>
                <w:bCs/>
                <w:noProof/>
                <w:sz w:val="24"/>
                <w:szCs w:val="24"/>
              </w:rPr>
            </w:pPr>
            <w:r w:rsidRPr="00A14E7D">
              <w:rPr>
                <w:b/>
                <w:bCs/>
                <w:noProof/>
                <w:sz w:val="24"/>
                <w:szCs w:val="24"/>
              </w:rPr>
              <w:t>Οι στόχοι της δημοσιονομικής προσαρμογής</w:t>
            </w:r>
          </w:p>
          <w:p w:rsidR="002F0A4D" w:rsidRPr="00A14E7D" w:rsidRDefault="002F0A4D" w:rsidP="00A14E7D">
            <w:pPr>
              <w:spacing w:before="2" w:after="0" w:line="214" w:lineRule="auto"/>
              <w:jc w:val="both"/>
              <w:rPr>
                <w:noProof/>
                <w:sz w:val="19"/>
                <w:szCs w:val="19"/>
              </w:rPr>
            </w:pPr>
            <w:r w:rsidRPr="00A14E7D">
              <w:rPr>
                <w:noProof/>
                <w:sz w:val="19"/>
                <w:szCs w:val="19"/>
              </w:rPr>
              <w:t>Το 2014-15, σύμφωνα με το ΔΝΤ (</w:t>
            </w:r>
            <w:hyperlink r:id="rId11" w:history="1">
              <w:r w:rsidRPr="00A14E7D">
                <w:rPr>
                  <w:rStyle w:val="Hyperlink"/>
                  <w:noProof/>
                  <w:sz w:val="19"/>
                  <w:szCs w:val="19"/>
                </w:rPr>
                <w:t>Fiscal Monitor</w:t>
              </w:r>
            </w:hyperlink>
            <w:r w:rsidRPr="00A14E7D">
              <w:rPr>
                <w:noProof/>
                <w:sz w:val="19"/>
                <w:szCs w:val="19"/>
              </w:rPr>
              <w:t>) η δημοσιονομική προσαρμογή ανακόπηκε βιαίως, και παρά την σύναψη του 3ου Μνημονίου και την λήψη μέτρων κυρίως στο β’ εξάμηνο του 2015, οι πρωτογενείς δαπάνες το 2015 θα διαμορφωθούν σε 46,4% του ΑΕΠ, σε επίπεδο υψηλότερο κατά μία ποσοστιαία μονάδα του ΑΕΠ από ό,τι το 2014, ενώ η αύξηση των εσόδων σε 45,9% του ΑΕΠ θα περιορισθεί στη μισή ποσοστιαία μονάδα του ΑΕΠ, με αποτέλεσμα την καταγραφή πρωτογενούς ελλείμματος -0,5% του ΑΕΠ στον προϋπολογισμό της Γενικής Κυβέρνησης (Πίνακας 1) Σημειώνεται, εν προκειμένω, ότι το πρωτογενές ισοζύγιο της χώρας, εάν γίνει η υπόθεση ότι η οικονομία επανέρχεται στην κανονικότητα της ανάπτυξης, είναι ήδη πλεονασματικό σε επίπεδο γύρω στο 3% του ΑΕΠ (Διάγραμμα 1). Δηλαδή, τα μέτρα που έχουν ληφθεί σε συνδυασμό με τον δυνητικό ρυθμό αύξησης του ΑΕΠ, δημιουργούν ήδη σημαντικά πλεονάσματα, τα οποία μάλιστα φαίνεται να υπερβαίνουν τις 4 ποσοστιαίες μονάδες του ΑΕΠ στα έτη πριν το 2020. Συνεπώς, υπάρχουν περιθώρια ελάφρυνσης της δημοσιονομικής προσαρμογής, αφού όμως πρώτα ληφθούν τα επώδυνα μέτρα που οδηγούν στους στόχους του προγράμματος. Διότι μόνον έτσι θα αποκατασταθεί η εμπιστοσύνη στις προοπτικές της οικονομίας και θα ανακάμψει η οικονομία. Χωρίς προσαρμογή δεν υπάρχει ανάπτυξη.</w:t>
            </w:r>
          </w:p>
          <w:p w:rsidR="002F0A4D" w:rsidRPr="00A14E7D" w:rsidRDefault="002F0A4D" w:rsidP="00A14E7D">
            <w:pPr>
              <w:spacing w:before="2" w:after="0" w:line="214" w:lineRule="auto"/>
              <w:jc w:val="both"/>
              <w:rPr>
                <w:noProof/>
                <w:sz w:val="19"/>
                <w:szCs w:val="19"/>
              </w:rPr>
            </w:pPr>
            <w:r w:rsidRPr="00A14E7D">
              <w:rPr>
                <w:noProof/>
                <w:sz w:val="19"/>
                <w:szCs w:val="19"/>
              </w:rPr>
              <w:t xml:space="preserve">Για το 2016, προβλέπεται δημοσιονομική σταθεροποίηση με μηδενικό πλεόνασμα στον προϋπολογισμό και, ακολούθως, μία περίοδος δραματικής συμπίεσης των πρωτογενών δαπανών κατά 6,5 ποσοστιαίες μονάδες του ΑΕΠ μέχρι το 2020. Η λήψη μέτρων εξορθολογισμού των λειτουργικών δαπανών και η σε βάθος μεταρρύθμιση του ασφαλιστικού συστήματος της χώρας θα δημιουργήσουν κατάλληλες συνθήκες για τη μείωση των πρωτογενών δαπανών τα επόμενα χρόνια χωρίς τη λήψη πρόσθετων μέτρων. Έτσι, θα οδηγηθεί η χώρα σε πρωτογενές πλεόνασμα 3,5 ποσοστιαίων μονάδων του ΑΕΠ από το 2018-2019 και μετά, επίπεδο που θεωρείται συμβατό με την δημοσιονομική σταθερότητα σε μια χώρα όπου η βιωσιμότητα του χρέους είναι αναγκαία συνθήκη για την ανάκαμψη των επενδύσεων σε μονιμότερη βάση (Διάγραμμα πρώτης σελίδας). </w:t>
            </w:r>
          </w:p>
          <w:p w:rsidR="002F0A4D" w:rsidRPr="00A14E7D" w:rsidRDefault="002F0A4D" w:rsidP="00A14E7D">
            <w:pPr>
              <w:spacing w:before="2" w:after="0" w:line="214" w:lineRule="auto"/>
              <w:jc w:val="both"/>
              <w:rPr>
                <w:noProof/>
                <w:sz w:val="19"/>
                <w:szCs w:val="19"/>
              </w:rPr>
            </w:pPr>
            <w:r w:rsidRPr="00A14E7D">
              <w:rPr>
                <w:noProof/>
                <w:sz w:val="19"/>
                <w:szCs w:val="19"/>
              </w:rPr>
              <w:t>Την ίδια περίοδο, προβλέπεται μία μείωση των εσόδων κατά 3 ποσοστιαίες μονάδες του ΑΕΠ, έναντι 6,5 ποσοστιαίων μονάδων του ΑΕΠ μείωσης των πρωτογενών δαπανών. Υπάρχουν τρεις παράγοντες που επενεργούν για τη μείωση των φορολογικών εσόδων. Πρώτον, το ΔΝΤ κάνει την υπόθεση εργασίας ότι η πάταξη της φοροδιαφυγής δεν είναι θεμιτό να ενσωματωθεί στις προβλέψεις εκ των προτέρων. Δεύτερον, καθώς η χώρα επιστρέφει σε συνθήκες αναπτυξιακής κανονικότητας, το ΔΝΤ αναγνωρίζει κάποια εξομάλυνση της πορείας των φορολογικών εσόδων λόγω σταδιακής κατάργησης πολλών μέτρων προσωρινού χαρακτήρα ή κατ’ εξαίρεση φορολόγησης του πληθυσμού, που είναι απαραίτητα σε περιόδους έκτακτης ανάγκης ταχείας αποκατάστασης συνθηκών σταθερότητας στην οικονομία ώστε να αποφευχθεί η χρηματοοικονομική και νομισματική αστάθεια (π.χ. GREXIT). Και, τρίτον, οι προβλέψεις ενσωματώνουν τις επιπτώσεις στα φορολογικά έσοδα από την αλλαγή του παραγωγικού προτύπου της χώρας, όπου μία στροφή προς τους κλάδους που παράγουν διεθνώς εμπορεύσιμα αγαθά θα τείνει να συμπιέζει την φορολογική βάση (π.χ. επιστροφή ΦΠΑ στις εξαγωγές, μείωση των εσόδων ΦΠΑ στους συρρικνούμενους παραδοσιακούς κλάδους, κ.λ.π.).</w:t>
            </w:r>
          </w:p>
          <w:p w:rsidR="002F0A4D" w:rsidRPr="00A14E7D" w:rsidRDefault="002F0A4D" w:rsidP="00A14E7D">
            <w:pPr>
              <w:spacing w:before="2" w:after="0" w:line="214" w:lineRule="auto"/>
              <w:jc w:val="both"/>
              <w:rPr>
                <w:noProof/>
                <w:sz w:val="19"/>
                <w:szCs w:val="19"/>
              </w:rPr>
            </w:pPr>
            <w:r w:rsidRPr="00A14E7D">
              <w:rPr>
                <w:noProof/>
                <w:sz w:val="19"/>
                <w:szCs w:val="19"/>
              </w:rPr>
              <w:t>Από τα ανωτέρω, προκύπτει αβίαστα το συμπέρασμα ότι η πάταξη της φοροδιαφυγής παραμένει κλειδί για την ταχύτατη αποκατάσταση βελτιωμένων συνθηκών εξασφάλισης ενός αξιοπρεπούς βιοτικού επιπέδου για τους συνταξιούχους και και για τους συνανθρώπους μας που αντιμετωπίζουν συνθήκες φτώχειας και αποκλεισμού. Η κοινωνική πολιτική δεν μπορεί, όμως, να γίνεται πεδίο σπατάλης και κακοδιαχείρισης, όπως στο παρελθόν, διότι έτσι αφαιρείται το ηθικό υπόβαθρο για την αύξηση του φορολογικού βάρους. Η πάταξη της φοροδιαφυγής έχει άμεση προτεραιότητα όχι μόνον για να μετριασθούν οι επιπτώσεις της λιτότητας αλλά και για να δημιουργηθούν οι συνθήκες για μείωση των φορολογικών συντελεστών, έτσι ώστε να τονωθεί η οικονομική δραστηριότητα και τα φορολογικά έσοδα και να υπάρξουν οι αναγκαίοι πόροι για τη βελτίωση του κοινωνικού κράτους.</w:t>
            </w:r>
          </w:p>
          <w:p w:rsidR="002F0A4D" w:rsidRPr="00A14E7D" w:rsidRDefault="002F0A4D" w:rsidP="00A14E7D">
            <w:pPr>
              <w:spacing w:before="2" w:after="0" w:line="214" w:lineRule="auto"/>
              <w:jc w:val="both"/>
              <w:rPr>
                <w:noProof/>
                <w:sz w:val="19"/>
                <w:szCs w:val="19"/>
              </w:rPr>
            </w:pPr>
            <w:r w:rsidRPr="00A14E7D">
              <w:rPr>
                <w:noProof/>
                <w:sz w:val="19"/>
                <w:szCs w:val="19"/>
              </w:rPr>
              <w:t>Η αντίσταση των πολιτικών ηγεσιών στην υλοποίηση μεταρρυθμίσεων που θίγουν λίγους προς όφελος των πολλών, και η προσήλωση στην φορολόγηση, μέχρι εξάντλησης, των συνεπών φορολογουμένων, είναι αδιέξοδες προσεγγίσεις και έχουν ημερομηνία λήξης. Όταν οι πολίτες, λόγω υπερφορολόγησης, δεν καρπώνονται τα αγαθά των προσπαθειών τους για οικονομική ευημερία και κοινωνική ανέλιξη, απλά και μόνον για να συντηρηθεί ένα σπάταλο και αναποτελεσματικό κράτος, τότε η νομιμοποίηση των μορφών και δομών κοινωνικής οργάνωσης αργά ή γρήγορα καταρρέει και η συνοχή της κοινωνίας τίθεται σε δοκιμασία. Δεν είναι δυνατόν να σχεδιάζουμε το μέλλον ανεχόμενοι την αύξηση της ανεργίας στο 27,1% το 2016, όπως προβλέπει το ΔΝΤ. Υπάρχουν όρια τα οποία προσεγγίζουμε με μεγάλη ταχύτητα. Η αποσύνθεση της κοινωνίας πρέπει να αποφευχθεί.</w:t>
            </w:r>
          </w:p>
          <w:p w:rsidR="002F0A4D" w:rsidRPr="00A14E7D" w:rsidRDefault="002F0A4D" w:rsidP="00A14E7D">
            <w:pPr>
              <w:spacing w:before="2" w:after="0" w:line="214" w:lineRule="auto"/>
              <w:jc w:val="both"/>
              <w:rPr>
                <w:noProof/>
                <w:sz w:val="19"/>
                <w:szCs w:val="19"/>
              </w:rPr>
            </w:pPr>
            <w:r w:rsidRPr="00A14E7D">
              <w:rPr>
                <w:noProof/>
                <w:sz w:val="19"/>
                <w:szCs w:val="19"/>
              </w:rPr>
              <w:t>Όλοι γνωρίζουμε ότι το πολιτικό σύστημα έδωσε υποσχέσεις για υψηλές συντάξεις αγνοώντας ενσυνείδητα τις μακροχρόνιες αντοχές του συστήματος και παραβαίνοντας θεμελιώδη αρχή που είχε νομοθετηθεί το 1992 για την διενέργεια αναλογιστικών μελετών που θα προσδιόριζαν τις αντοχές αυτές. Επιπρόσθετα, το σύστημα ανέλαβε «για κοινωνικούς λόγους» τη συνταξιοδότηση διαφόρων ομάδων πολιτών με ανεπαρκείς ή καθόλου καταβολές εισφορών. Τέλος το πολιτικό σύστημα αγνόησε τις δημογραφικές τάσεις που οδηγούν στη γήρανση του πληθυσμού και αποτελούν πρόσθετο μεγάλο πρόβλημα στη βιωσιμότητά του. Η ασφαλιστική δικαιοσύνη επιτάσσει ο συνταξιούχος να παίρνει μία σύνταξη που είναι ανταποδοτική, δηλαδή που το ύψος της προκύπτει από τις εισφορές που έχουν πράγματι καταβληθεί και με τους σωστούς αναλογιστικούς υπολογισμούς - ούτε λιγότερο αλλά ούτε περισσότερο. Η πολιτεία ασφαλώς μπορεί να παρέχει πρόσθετα ωφελήματα σε ορισμένες κατηγορίες πολιτών, αλλά αυτά είναι αντικείμενο της κοινωνικής πολιτικής που χρηματοδοτείται διαφανώς από τους φόρους και δεν πρέπει να συγχέεται με το συνταξιοδοτικό σύστημα. Σε κάθε περίπτωση πρέπει να αναμορφωθεί ριζικά το ασφαλιστικό σύστημα, δίδοντας τη σημασία που αρμόζει στην μη υποχρεωτική ασφάλιση σύμφωνα με τα ευρωπαϊκά πρότυπα (2ος και 3ος πυλώνας, δηλαδή επαγγελματικά ταμεία και ιδιωτική ασφάλιση). Παράλληλα είναι επιτακτικό το νέο σύστημα να μειώσει το μή μισθολογικό κόστος που πλήττει σημαντικά την ανταγωνιστικότητα των Ελληνικών επιχειρήσεων και των εργαζομένων τους, και να δημιουργήσει προϋποθέσεις για δραστική μείωση της αδήλωτης εργασίας κάθε μορφής.</w:t>
            </w:r>
          </w:p>
          <w:p w:rsidR="002F0A4D" w:rsidRPr="00A14E7D" w:rsidRDefault="002F0A4D" w:rsidP="00A14E7D">
            <w:pPr>
              <w:spacing w:before="2" w:after="0" w:line="214" w:lineRule="auto"/>
              <w:jc w:val="both"/>
              <w:rPr>
                <w:b/>
                <w:bCs/>
                <w:noProof/>
              </w:rPr>
            </w:pPr>
            <w:r w:rsidRPr="00A14E7D">
              <w:rPr>
                <w:b/>
                <w:bCs/>
                <w:noProof/>
              </w:rPr>
              <w:t>Πρόσφατες οικονομικές εξελίξεις</w:t>
            </w:r>
          </w:p>
          <w:p w:rsidR="002F0A4D" w:rsidRPr="00A14E7D" w:rsidRDefault="002F0A4D" w:rsidP="00A14E7D">
            <w:pPr>
              <w:spacing w:before="2" w:after="0" w:line="214" w:lineRule="auto"/>
              <w:jc w:val="both"/>
              <w:rPr>
                <w:noProof/>
                <w:sz w:val="19"/>
                <w:szCs w:val="19"/>
              </w:rPr>
            </w:pPr>
            <w:r w:rsidRPr="00A14E7D">
              <w:rPr>
                <w:b/>
                <w:bCs/>
                <w:noProof/>
                <w:sz w:val="19"/>
                <w:szCs w:val="19"/>
                <w:u w:val="single"/>
              </w:rPr>
              <w:t>Εκτέλεση προϋπολογισμού γενικής κυβέρνησης:</w:t>
            </w:r>
            <w:r w:rsidRPr="00A14E7D">
              <w:rPr>
                <w:noProof/>
                <w:sz w:val="19"/>
                <w:szCs w:val="19"/>
              </w:rPr>
              <w:t>Την περίοδο Ιανουαρίου – Αυγούστου σε επίπεδο γενικής κυβέρνησης τα έσοδα από φόρους είχαν υποχωρήσει κατά €1,6 δις σε σχέση με το 2014 λόγω της υποχώρησης των εσόδων από άμεσους φόρους κατά €1,9 δις  και τα έσοδα από ασφαλιστικές εισφορές κατά €670 εκατ. (βελτιωμένα τους τελευταίους μήνες λόγω ειδικά της καλής επίδοσης του Ιουλίου, Διάγραμμα 2 καθώς οι οφειλέτες έσπευσαν να εξοφλήσουν τα ταμεία). Οι δαπάνες για μισθούς και συντάξεις αυξήθηκαν ελαφρά κατά €150 εκατ., και οι λοιπές κοινωνικές παροχές υποχωρούν κατά  €1,2 δις. Συνολικά, για τη γενική κυβέρνηση το πρωτογενές αποτέλεσμα την περίοδο Ιανουαρίου-Αυγούστου 2015 ανήλθε σε €2,6 δις αντί €2,4 δις την ίδια περίοδο του 2014. Το ποσά αυτά προκύπτουν χωρίς να έχουν αφαιρεθεί τα έσοδα από ANFA/SMP και τα έκτακτα έσοδα από το ΤΧΣ για το 2015. Μετά την αφαίρεση αυτών των, εκτάκτων, εσόδων το πρωτογενές αποτέλεσμα του πρώτου 8μήνου 2015 είναι πλεόνασμα €1,55 δις. αντί πλεονάσματος €1,85 δις το αντίστοιχο διάστημα του 2014 καθώς η συγκράτηση δαπανών ειδικά των κοινωνικών παροχών πλην συντάξεων περιόρισε τις δαπάνες των ασφαλιστικών ταμείων και αντιστάθμισε σε γενικές γραμμές την υστέρηση εσόδων (Πίνακας 2). Επισημαίνεται και η σημαντική αύξηση των εκτός προϋπολογισμού μεταβιβάσεων των νομικών προσώπων,  κατά €1 δις περίπου σε σχέση με τον Ιούλιο, οφείλεται στη χρηματοδότηση ΔΕΚΟ από την κεντρική κυβέρνηση για να μπορέσουν να αποπληρώσουν χρεολύσια ομολόγων έκδοσης του 2012 προς την κεντρική κυβέρνηση, μια πράξη με ουσιαστικά μηδενικό συνολικό αποτέλεσμα για τη γενική κυβέρνηση. Παράλληλα, αυξάνεται σταθερά (σε €5,9 δις τον Αύγουστο) το ύψος των ληξιπρόθεσμων οφειλών του κράτους (Διάγραμμα 3).</w:t>
            </w:r>
          </w:p>
          <w:p w:rsidR="002F0A4D" w:rsidRPr="00A14E7D" w:rsidRDefault="002F0A4D" w:rsidP="00A14E7D">
            <w:pPr>
              <w:spacing w:before="2" w:after="0" w:line="214" w:lineRule="auto"/>
              <w:jc w:val="both"/>
              <w:rPr>
                <w:noProof/>
                <w:sz w:val="19"/>
                <w:szCs w:val="19"/>
              </w:rPr>
            </w:pPr>
            <w:r w:rsidRPr="00A14E7D">
              <w:rPr>
                <w:b/>
                <w:bCs/>
                <w:noProof/>
                <w:sz w:val="19"/>
                <w:szCs w:val="19"/>
                <w:u w:val="single"/>
              </w:rPr>
              <w:t>Εξαγωγές:</w:t>
            </w:r>
            <w:r w:rsidRPr="00A14E7D">
              <w:rPr>
                <w:noProof/>
                <w:sz w:val="19"/>
                <w:szCs w:val="19"/>
              </w:rPr>
              <w:t xml:space="preserve"> Οι εξαγωγές τον Ιούλιο και τον Αύγουστο επέδειξαν ανθεκτικότητα παρά την επιβολή ελέγχων στην κίνηση κεφαλαίων (Διάγραμμα 4). Ωστόσο, η μεγάλη μείωση των εισαγωγών πλην καυσίμων αποτελεί προειδοποίηση για πιθανή αποδυνάμωση της θετικής πορείας των εξαγωγών το επόμενο διάστημα. Ειδικότερα, τον Αύγουστο του 2015 σημειώθηκε άνοδος των εξαγωγών χωρίς τα καύσιμα κατά +6,8% σε σύγκριση με τον ίδιο μήνα πέρυσι, ενώ κατά το διάστημα Ιαν – Αυγ 2015 η μεταβολή ήταν θετική κατά +12,3%. Οι εξαγωγές ενισχύονται σε όλες τις μεγάλες ομάδες προϊόντων εκτός των καυσίμων (Πίνακας 3). Ξεχωρίζουν για τις επιδόσεις τους οι εξαγωγές αγροτικών προϊόντων (+17,1%), ιδίως λαδιού (+202,4%), ποτών και καπνού (+23,1%), μηχανημάτων (+19%) και βιομηχανικών ειδών ταξινομημένων κατά Α’ ύλη (+16,3%). Όσον αφορά στις εισαγωγές, μετά τη μεγάλη πτώση του Ιουλίου (-22%), η μείωση τον Αύγουστο περιορίστηκε στο -8,4% (εξαιρουμένων των πετρελαιοειδών), ενώ συνολικά κατά το διάστημα Ιαν – Αυγ σημειώνεται υποχώρηση -2%.  </w:t>
            </w:r>
          </w:p>
          <w:p w:rsidR="002F0A4D" w:rsidRPr="00A14E7D" w:rsidRDefault="002F0A4D" w:rsidP="00A14E7D">
            <w:pPr>
              <w:spacing w:before="2" w:after="0" w:line="214" w:lineRule="auto"/>
              <w:jc w:val="both"/>
              <w:rPr>
                <w:noProof/>
                <w:sz w:val="19"/>
                <w:szCs w:val="19"/>
              </w:rPr>
            </w:pPr>
            <w:r w:rsidRPr="00A14E7D">
              <w:rPr>
                <w:b/>
                <w:bCs/>
                <w:noProof/>
                <w:sz w:val="19"/>
                <w:szCs w:val="19"/>
                <w:u w:val="single"/>
              </w:rPr>
              <w:t>Βιομηχανική παραγωγή:</w:t>
            </w:r>
            <w:r w:rsidRPr="00A14E7D">
              <w:rPr>
                <w:noProof/>
                <w:sz w:val="19"/>
                <w:szCs w:val="19"/>
              </w:rPr>
              <w:t xml:space="preserve">Αξιοσημείωτες αντοχές επιδεικνύει η βιομηχανική παραγωγή κατά το Ιούλιο και ιδίως κατά τον Αύγουστο του 2015, εν μέσω των μεγάλων πολιτικών και οικονομικών αναταράξεων. Ο σχετικός δείκτης (χωρίς τα πετρελαιοειδή) υποχώρησε λιγότερο από ό,τι αναμενόταν τον Ιούλιο (-6,3%), ενώ η πτώση ανακόπτεται τον Αύγουστο με αύξηση +4,8%. Στους περισσότερους κλάδους η παραγωγή ενισχύεται τον Αύγουστο σε σύγκριση με τον ίδιο μήνα του 2014 (Διάγραμμα 5). Ειδικότερα, στον κλάδο των τροφίμων, η βιομηχανική παραγωγή ανακάμπτει τον Αύγουστο του 2015 (+3,4%), μετά από την πτώση του Ιουλίου, η οποία κατά ένα μεγάλος μέρος οφειλόταν στην έλλειψη πρώτων υλών λόγω των </w:t>
            </w:r>
            <w:r w:rsidRPr="00A14E7D">
              <w:rPr>
                <w:noProof/>
                <w:sz w:val="19"/>
                <w:szCs w:val="19"/>
                <w:lang w:val="en-US"/>
              </w:rPr>
              <w:t>capitalcontrols</w:t>
            </w:r>
            <w:r w:rsidRPr="00A14E7D">
              <w:rPr>
                <w:noProof/>
                <w:sz w:val="19"/>
                <w:szCs w:val="19"/>
              </w:rPr>
              <w:t>. Αξιοσημείωτες αυξήσεις καταγράφονται στους κλάδους βασικών μετάλλων (+26,1%), κλωστοϋφαντουργίας (+23,9%), ηλεκτρολογικού εξοπλισμού (+14,9%), χαρτιού (+10,5%) και φαρμάκων (+8,9%). Αντίθετα, μεταξύ των κλάδων, στους οποίους καταγράφεται υποχώρηση, ξεχωρίζουν οι κλάδοι ένδυσης (-21,8%), εξόρυξης (-20,2%) και μηχανημάτων/ειδών εξοπλισμού (-17,1%, Διάγραμμα 6). Αν και η παραγωγή ηλεκτρικού ρεύματος παραμένει αυξημένη, αποτέλεσμα της επιβολής των ελέγχων στην κίνηση κεφαλαίων και την συνεπακόλουθη υποκατάσταση εισαγωγών ρεύματος από εγχώρια παραγωγή, τον Αύγουστο και η υπόλοιπη βιομηχανική παραγωγή και ειδικά η μεταποίηση εμφάνισαν ισχυρές επιδόσεις. Θετική συμβολή στο δείκτη μεταποίησης πλην καυσίμων είχαν κυρίως τα τρόφιμα (Διάγραμμα ΒΠ2), ποτά, βασικά μέταλλα, φάρμακα και χημικά ενώ αρνητική συμβολή κυρίως η παραγωγή μη μεταλλικών ορυκτών καθώς και τα πλαστικά και μεταλλικά προϊόντα.Συνολικά, κατά το διάστημα Ιαν – Αυγ 2015 σημειώνεται οριακή υποχώρηση του γενικού δείκτη βιομηχανικής παραγωγής (-0,1%), ενώ στη μεταποίηση χωρίς τα καύσιμα ο δείκτης παρουσιάζει άνοδο +1,3%.</w:t>
            </w:r>
          </w:p>
          <w:p w:rsidR="002F0A4D" w:rsidRPr="00A14E7D" w:rsidRDefault="002F0A4D" w:rsidP="00A14E7D">
            <w:pPr>
              <w:spacing w:before="2" w:after="0" w:line="214" w:lineRule="auto"/>
              <w:jc w:val="both"/>
              <w:rPr>
                <w:noProof/>
                <w:sz w:val="19"/>
                <w:szCs w:val="19"/>
              </w:rPr>
            </w:pPr>
            <w:r w:rsidRPr="00A14E7D">
              <w:rPr>
                <w:b/>
                <w:bCs/>
                <w:noProof/>
                <w:sz w:val="19"/>
                <w:szCs w:val="19"/>
                <w:u w:val="single"/>
              </w:rPr>
              <w:t>Αγορά εργασίας:</w:t>
            </w:r>
            <w:r w:rsidRPr="00A14E7D">
              <w:rPr>
                <w:noProof/>
                <w:sz w:val="19"/>
                <w:szCs w:val="19"/>
              </w:rPr>
              <w:t xml:space="preserve">Αμετάβλητο σε σύγκριση με τον προηγούμενο μήνα, παρέμεινε το ποσοστό ανεργίας τον Ιούλιο του 2015 στο 25,0% και χαμηλότερα από τον ίδιο μήνα το 2014 που ήταν στο 26,3% (Διάγραμμα 7). Ο αριθμός των ανέργων (1.197 χιλ. περίπου) εμφανίζεται μειωμένος κατά 71,4 χιλ. άτομα σε σύγκριση με τον Ιούλιο του 2014, ενώ ο αριθμός των απασχολουμένων ανήλθε σε 3.591 χιλ. άτομα, παρουσιάζοντας άνοδο κατά 33,5 χιλ. άτομα σε σχέση με πέρυσι. Το ποσοστό ανεργίας των νέων παραμένει σε πολύ υψηλό επίπεδο (48,6%), ενώ στις γυναίκες το αντίστοιχο ποσοστό διαμορφώθηκε στο 29,4%, ελαφρώς χαμηλότερα από τον Ιούλιο του 2014, όταν ήταν 30%. Την ίδια ώρα το σύστημα ΕΡΓΑΝΗ για τον μήνα Σεπτέμβριο καταγράφει εκ νέου μείωση της καθαρής ροής μισθωτής εργασίας κατά 13 χιλιάδες, για τρίτο μήνα στη σειρά (Διάγραμμα 8)και ενώ παραδοσιακά στα προ κρίσης χρόνια η ροή του Σεπτεμβρίου ήταν θετική λόγω των προσλήψεων (ορισμένου χρόνου) στο χώρο της παιδείας που αντισταθμίζουν τις εποχικές αποχωρήσεις ειδικά στο χώρο του τουρισμού. Σημειώνεται μάλιστα ότι τον Σεπτέμβριο του 2013 είχαν δημιουργηθεί καθαρές 63 χιλιάδες θέσεις εργασίας.. </w:t>
            </w:r>
          </w:p>
          <w:p w:rsidR="002F0A4D" w:rsidRPr="00A14E7D" w:rsidRDefault="002F0A4D" w:rsidP="00A14E7D">
            <w:pPr>
              <w:spacing w:before="2" w:after="0" w:line="214" w:lineRule="auto"/>
              <w:jc w:val="both"/>
              <w:rPr>
                <w:noProof/>
                <w:sz w:val="19"/>
                <w:szCs w:val="19"/>
              </w:rPr>
            </w:pPr>
            <w:r w:rsidRPr="00A14E7D">
              <w:rPr>
                <w:b/>
                <w:bCs/>
                <w:noProof/>
                <w:sz w:val="19"/>
                <w:szCs w:val="19"/>
                <w:u w:val="single"/>
              </w:rPr>
              <w:t>Πληθωρισμός:</w:t>
            </w:r>
            <w:r w:rsidRPr="00A14E7D">
              <w:rPr>
                <w:noProof/>
                <w:sz w:val="19"/>
                <w:szCs w:val="19"/>
              </w:rPr>
              <w:t xml:space="preserve">Πτώση -1,7% καταγράφεται στον Δείκτη Τιμών Καταναλωτή τον Σεπτέμβριο του 2015. Σύμφωνα με τα στοιχεία του δείκτη, οι τιμές υποχωρούν για πάνω από 30ο συνεχόμενους μήνες, ενώ χαρακτηριστική είναι η άνοδος μόνο στα τρόφιμα (+3,7%), τα ποτά (+2,4%) και τα ξενοδοχεία/εστιατόρια (+1,8%), αντικατοπτρίζοντας την αύξηση του ΦΠΑ που επιβλήθηκε τον Αύγουστο του 2015 σε αυτές τις κατηγορίες (Διάγραμμα 9). Σε όλες τις υπόλοιπες κατηγορίες σημειώνεται μείωση του δείκτη, με εντονότερη στη στέγαση (-7,4%) κυρίως λόγω της μείωσης των τιμών ενοικίων και στις μεταφορές (-5,8%) κυρίως λόγω της μείωσης των τιμών αγοράς αυτοκινήτων και καυσίμων.  </w:t>
            </w:r>
          </w:p>
          <w:p w:rsidR="002F0A4D" w:rsidRPr="00A14E7D" w:rsidRDefault="002F0A4D" w:rsidP="00A14E7D">
            <w:pPr>
              <w:spacing w:before="2" w:after="0" w:line="214" w:lineRule="auto"/>
              <w:jc w:val="both"/>
              <w:rPr>
                <w:noProof/>
                <w:sz w:val="19"/>
                <w:szCs w:val="19"/>
              </w:rPr>
            </w:pPr>
            <w:r w:rsidRPr="00A14E7D">
              <w:rPr>
                <w:b/>
                <w:bCs/>
                <w:noProof/>
                <w:sz w:val="19"/>
                <w:szCs w:val="19"/>
                <w:u w:val="single"/>
              </w:rPr>
              <w:t>Οικοδομική δραστηριότητα:</w:t>
            </w:r>
            <w:r w:rsidRPr="00A14E7D">
              <w:rPr>
                <w:noProof/>
                <w:sz w:val="19"/>
                <w:szCs w:val="19"/>
              </w:rPr>
              <w:t xml:space="preserve">Εντείνεται η πτώση της ιδιωτικής οικοδομικής δραστηριότητας τον Ιούλιο του 2015, με υποχώρηση του όγκου ιδιωτικής οικοδομικής δραστηριότητας κατά -25,2%, έπειτα από πτώση -15,1% τον προηγούμενο μήνα (Διάγραμμα 10). Πάντως, κατά το διάστημα Ιανουαρίου – Ιουλίου τα στοιχεία καταγράφουν άνοδο +1,9%, καθώς η αύξηση της δραστηριότητας τους προηγούμενους μήνες ήταν έντονη, ιδίως σε τουριστικές περιοχές.Σημειώνεται ότι λόγω αντίστοιχων μεταβολών στη δημόσια οικοδομική δραστηριότητα παρουσιάζεται αύξηση 58,2% στην επιφάνεια (σύνολο ιδιωτική και δημόσια δραστηριότητα) και κατά 275% στον όγκο, πιθανών λόγω εξελίξεων που αφορούν κάποιο μεγάλο δημόσιο έργο. </w:t>
            </w:r>
          </w:p>
          <w:p w:rsidR="002F0A4D" w:rsidRPr="00A14E7D" w:rsidRDefault="002F0A4D" w:rsidP="00A14E7D">
            <w:pPr>
              <w:spacing w:before="2" w:after="0" w:line="214" w:lineRule="auto"/>
              <w:jc w:val="both"/>
              <w:rPr>
                <w:b/>
                <w:bCs/>
                <w:noProof/>
                <w:sz w:val="19"/>
                <w:szCs w:val="19"/>
                <w:u w:val="single"/>
              </w:rPr>
            </w:pPr>
            <w:r w:rsidRPr="00A14E7D">
              <w:rPr>
                <w:b/>
                <w:bCs/>
                <w:noProof/>
                <w:sz w:val="19"/>
                <w:szCs w:val="19"/>
                <w:u w:val="single"/>
              </w:rPr>
              <w:t>Άδειες κυκλοφορίας οχημάτων:</w:t>
            </w:r>
            <w:r w:rsidRPr="00A14E7D">
              <w:rPr>
                <w:noProof/>
                <w:sz w:val="19"/>
                <w:szCs w:val="19"/>
              </w:rPr>
              <w:t>Επιβράδυνση παρουσιάζει ο ρυθμός αύξησης των αυτοκινήτων που κυκλοφόρησαν για πρώτη φορά τον Σεπτέμβριο του 2015. Ειδικότερα, έπειτα από τη μεγάλη μείωση του Ιουλίου (-23,9%), προφανώς λόγω των περιορισμών στην κίνηση κεφαλαίων, παρουσιάστηκε σημαντική άνοδος τον Αύγουστο (+20,1%), ενώ τον Σεπτέμβριο η μεταβολή ήταν θετική κατά +6,7%. Συνολικά κατά το διάστημα Ιαν – Σεπ 2015 παρατηρείται άνοδος +17,3%, γεγονός στο οποίο συνέβαλε η αύξηση του τουρισμού.</w:t>
            </w:r>
          </w:p>
          <w:p w:rsidR="002F0A4D" w:rsidRPr="00A14E7D" w:rsidRDefault="002F0A4D" w:rsidP="00A14E7D">
            <w:pPr>
              <w:spacing w:before="2" w:after="0" w:line="214" w:lineRule="auto"/>
              <w:jc w:val="both"/>
              <w:rPr>
                <w:b/>
                <w:bCs/>
                <w:noProof/>
              </w:rPr>
            </w:pPr>
            <w:r w:rsidRPr="00A14E7D">
              <w:rPr>
                <w:b/>
                <w:bCs/>
                <w:noProof/>
              </w:rPr>
              <w:t>Μεταρρυθμίσεις στις αγορές προϊόντων και δικτύων</w:t>
            </w:r>
          </w:p>
          <w:p w:rsidR="002F0A4D" w:rsidRPr="00A14E7D" w:rsidRDefault="002F0A4D" w:rsidP="00A14E7D">
            <w:pPr>
              <w:spacing w:before="2" w:after="0" w:line="214" w:lineRule="auto"/>
              <w:jc w:val="both"/>
              <w:rPr>
                <w:noProof/>
                <w:sz w:val="20"/>
                <w:szCs w:val="20"/>
              </w:rPr>
            </w:pPr>
            <w:r w:rsidRPr="00A14E7D">
              <w:rPr>
                <w:noProof/>
                <w:sz w:val="19"/>
                <w:szCs w:val="19"/>
              </w:rPr>
              <w:t>Καθώς τα δημοσιονομικά μέτρα του 3ου μνημονίου υλοποιούνται αναδεικνύεται για άλλη μια φορά το συγκριτικά μικρότερο βάρος που δίνεται, όπως και στα προηγούμενα δυο προγράμματα προσαρμογής, στην υλοποίηση μεταρρυθμίσεων που μπορούν να ενισχύσουν την αναπτυξιακή προοπτική της χώρας και την απασχόληση. Η προώθηση μεταρρυθμίσεων δεν αποτελεί αυτοσκοπό ή ιδεολογική εμμονή, αποτελεί πρακτική επιλογή για τη δημιουργία τελικά θέσεων εργασίας που εξασφαλίζουν ψωμί σε οικογένειες και βοηθάνε στην βελτίωση της κοινωνικής συνοχής. Η ύπαρξη ή όχι εργασίας  και ειδικά μισθωτής εργασίας πλήρους απασχόλησης έχει κρίσιμη συμβολή στην εδραίωση της κοινωνικής συνοχής και την μείωση του κινδύνου φτώχειας (</w:t>
            </w:r>
            <w:hyperlink r:id="rId12" w:history="1">
              <w:r w:rsidRPr="00A14E7D">
                <w:rPr>
                  <w:rStyle w:val="Hyperlink"/>
                  <w:noProof/>
                  <w:sz w:val="19"/>
                  <w:szCs w:val="19"/>
                </w:rPr>
                <w:t>Δελτίο 18/6/2015</w:t>
              </w:r>
            </w:hyperlink>
            <w:r w:rsidRPr="00A14E7D">
              <w:rPr>
                <w:noProof/>
                <w:sz w:val="19"/>
                <w:szCs w:val="19"/>
              </w:rPr>
              <w:t>), και αυτό το είδος απασχόλησης συ</w:t>
            </w:r>
            <w:bookmarkStart w:id="0" w:name="_GoBack"/>
            <w:bookmarkEnd w:id="0"/>
            <w:r w:rsidRPr="00A14E7D">
              <w:rPr>
                <w:noProof/>
                <w:sz w:val="19"/>
                <w:szCs w:val="19"/>
              </w:rPr>
              <w:t xml:space="preserve">ναντιέται κυρίως σε μεγαλύτερες επιχειρήσεις που αντιμετωπίζουν ανταγωνισμό και αναπτύσσονται γύρω από ανταγωνιστικές αγορές δικτύων και μέσα σε ένα ευνοϊκό επιχειρηματικό περιβάλλον. Ο λόγος είναι ότι οι ανταγωνιστικές αγορές δικτύων (τηλεπικοινωνίες, ενέργεια, μεταφορές) αποτελούν σημαντικές εισροές για τις άλλες επιχειρήσεις και όταν είναι ανταγωνιστικές οι εισροές αυτές προσφέρονται σε χαμηλότερη τιμή και υψηλότερη ποιότητα στους άλλους κλάδους (βλ. </w:t>
            </w:r>
            <w:hyperlink r:id="rId13" w:history="1">
              <w:r w:rsidRPr="00A14E7D">
                <w:rPr>
                  <w:rStyle w:val="Hyperlink"/>
                  <w:noProof/>
                  <w:sz w:val="19"/>
                  <w:szCs w:val="19"/>
                </w:rPr>
                <w:t>σχετική ανάλυση του ΟΟΣΑ</w:t>
              </w:r>
            </w:hyperlink>
            <w:r w:rsidRPr="00A14E7D">
              <w:rPr>
                <w:noProof/>
                <w:sz w:val="19"/>
                <w:szCs w:val="19"/>
              </w:rPr>
              <w:t xml:space="preserve">) που αναπτύσσονται με μεγαλύτερο δυναμισμό και ευελιξία ανακαλύπτοντας συγκριτικά πλεονεκτήματα και επιτρέποντας την ανάπτυξη νέων επιχειρήσεων, </w:t>
            </w:r>
            <w:hyperlink r:id="rId14" w:anchor=".Vhu4aPmqpHw" w:history="1">
              <w:r w:rsidRPr="00A14E7D">
                <w:rPr>
                  <w:rStyle w:val="Hyperlink"/>
                  <w:noProof/>
                  <w:sz w:val="19"/>
                  <w:szCs w:val="19"/>
                </w:rPr>
                <w:t>δηλαδή εκείνων των επιχειρήσεων που δημιουργούν τις περισσότερες νέες θέσεις εργασίας</w:t>
              </w:r>
            </w:hyperlink>
            <w:r w:rsidRPr="00A14E7D">
              <w:rPr>
                <w:noProof/>
                <w:sz w:val="19"/>
                <w:szCs w:val="19"/>
              </w:rPr>
              <w:t>. Αυτός είναι και ο λόγος για τον οποίο συστηματικά σε όλες τις μελέτες οι χώρες που έχουν περισσότερο απελευθερωμένες αγορές δικτύων και γενικά περισσότερο απελευθερωμένες αγορές πετυχαίνουν καλύτερες επιδόσεις σε όλα τα επίπεδα, με το πλέον σημαντικό να είναι φυσικά η απασχόληση. Στο Διάγραμμα 12  βλέπουμε ότι την περίοδο 2000-2007, ενδεικτικά και μόνο, οι χώρες που είχαν πιο ευνοϊκή ρύθμιση αγορών δικτύων (δηλαδή βαθμολογείται  κάτω του μέσου όρου του ΟΟΣΑ στο σχετικό δείκτη) έχουν μεγαλύτερο του μέσου όρου ποσοστό απασχόλησης του πληθυσμού σε ηλικία απασχόλησης (15-64). Η Ελλάδα, λόγω και συμμετοχής στην ΕΕ, έχει υποχρεωτικά εφαρμόσει τις τελευταίες δεκαετίες πολλά βήματα απελευθέρωσης των αγορών αυτών, ξεκινώντας με καθυστέρηση στις αρχές της δεκαετίας του 90 με τη δημιουργία της ανταγωνιστικής αγοράς κινητής τηλεφωνίας, ακολουθώντας το παγκόσμιο ρεύμα απελευθέρωσης αυτών των αγορών. Όμως όπως δείχνει το Διάγραμμα13,  πάντα έκανε τα μεταρρυθμιστικά βήματα με καθυστέρηση και πιο διστακτικά σε σχέση με τον μέσο όρο του ΟΟΣΑ. Αυτό στην πράξη σημαίνει ότι δεν κατάφερε ποτέ να πάψει αν είναι «αυστηρά ρυθμισμένη χώρα», όπου νόμοι και κρατικές πρακτικές δεν επιτρέπουν στις επιχειρήσεις να ανταγωνιστούν με ίσους όρους και με σημείο αναφοράς το συγκριτικό τους πλεονέκτημα. Μια θέση που είναι απολύτως συμβατή με τη σταθερά αρνητική της επίδοση της χώρας μας στην αγορά εργασίας, τόσο πριν την κρίση όσο και κατά τη διάρκεια αυτής. Η επικείμενη ιδιωτικοποίηση των σιδηροδρόμων, που παγκοσμίως διευκολύνουν την ένταξη σε αλυσίδες αξίας ειδικά για περιφερειακές χώρες όπως η Ελλάδα, είναι μια σημαντική ευκαιρία η Ελλάδα να επιταχύνει στο πεδίο αυτό και να απελευθερώσει το υφιστάμενο αναπτυξιακό δυναμικό. Ενδεικτικά το Διάγραμμα 14 δείχνει ότι οι εμπορευματικές σιδηροδρομικές μεταφορές το 2011 στην Ελλάδα ήταν μόλις το 1,7% των αντίστοιχων οδικών, παρόλο που οι τελευταίες είναι οικονομικά πιο ασύμφορες ειδικά σε μεγαλύτερες αποστάσεις. Αντίστοιχα, χώρες όπως η Βουλγαρία και η Ρουμανία εμφανίζουν πολύ αυξημένη αναλογία σιδηροδρομικών προς οδικές εμπορευματικές μεταφορές ενώ στην Ε.Ε. συνολικά οι εμπορευματικές μεταφορές με σιδηρόδρομο αντιστοιχούν περίπου στο 24% των οδικών μεταφορών – εύλογο καθώς οι περισσότερες  μεταφορές είναι μεσαίων και μικρών αποστάσεωνκαι σχεδόν πάντα συμφέρει να γίνεται οδικά ενώ οι υψηλές επιδόσεις χωρών όπως Αυστρία και η Ελβετία εξηγούνται από την πολιτική ενθάρρυνσης μεταφοράς των φορτίων που διέρχονται από το κέντρο της Ευρώπης με τον λιγότερο επιβαρυντικό για το περιβάλλον σιδηρόδρομο.  Όμως η επιτυχία της ιδιωτικοποίησης της νέας εμπορευματικής προβλήτας του λιμανιού του Πειραιά (</w:t>
            </w:r>
            <w:hyperlink r:id="rId15" w:history="1">
              <w:r w:rsidRPr="00A14E7D">
                <w:rPr>
                  <w:rStyle w:val="Hyperlink"/>
                  <w:noProof/>
                  <w:sz w:val="19"/>
                  <w:szCs w:val="19"/>
                </w:rPr>
                <w:t>Δελτίο 2/7/2015</w:t>
              </w:r>
            </w:hyperlink>
            <w:r w:rsidRPr="00A14E7D">
              <w:rPr>
                <w:noProof/>
                <w:sz w:val="19"/>
                <w:szCs w:val="19"/>
              </w:rPr>
              <w:t xml:space="preserve">) και η αναποτελεσματικότητα των εμπορευματικών μεταφορών στην Ελλάδα που εκφράζεται τόσο από τον μεγάλο αριθμό φορτηγών ιδιωτικής χρήσης (λόγω ρύθμισης της σχετικής αγοράς και η οποία οδηγεί και σε αναποτελεσματική χρήση του στόλου με αύξηση των κενών διαδρομών, Διάγραμμα 15) και την ελάχιστη χρήση των σιδηροδρομικών μεταφορών δείχνουν ότι η τυχόν ιδιωτικοποίηση του ΟΣΕ έχει τη δυνατότητα να αναδειχθεί σε βασικό μοχλό ενίσχυσης της ανταγωνιστικότητας και ανάπτυξης της χώρας. Αντίστοιχα, η δρομολόγηση της διασύνδεσης των μη-διασυνδεμένων με το δίκτυο νησιών με την ηπειρωτική Ελλάδα προσφέρει την ευκαιρία μείωσης του πολύ υψηλού κόστους ηλεκτροδότησης τους (Διάγραμμα 15), απομακρύνοντας το κόστος επιδότησης αυτού του 10% του συνόλου της παραγωγής (το 2010 </w:t>
            </w:r>
            <w:hyperlink r:id="rId16" w:history="1">
              <w:r w:rsidRPr="00A14E7D">
                <w:rPr>
                  <w:rStyle w:val="Hyperlink"/>
                  <w:noProof/>
                  <w:sz w:val="19"/>
                  <w:szCs w:val="19"/>
                </w:rPr>
                <w:t>ανήλθε σε €700 εκατ.</w:t>
              </w:r>
            </w:hyperlink>
            <w:r w:rsidRPr="00A14E7D">
              <w:rPr>
                <w:noProof/>
                <w:sz w:val="19"/>
                <w:szCs w:val="19"/>
              </w:rPr>
              <w:t xml:space="preserve">) που σήμερα ορθώνει ένα από τα πλέον σημαντικά εμπόδια στον εξορθολογισμό της αγοράς ηλεκτρικής ενέργειας και κατά προέκταση την αποκατάσταση της ανταγωνιστικότητας σημαντικών παραγωγικών κλάδων της χώρας.  </w:t>
            </w:r>
          </w:p>
        </w:tc>
        <w:tc>
          <w:tcPr>
            <w:tcW w:w="5725" w:type="dxa"/>
          </w:tcPr>
          <w:p w:rsidR="002F0A4D" w:rsidRPr="00A14E7D" w:rsidRDefault="002F0A4D" w:rsidP="00A14E7D">
            <w:pPr>
              <w:spacing w:after="0" w:line="240" w:lineRule="auto"/>
              <w:rPr>
                <w:color w:val="7030A0"/>
                <w:sz w:val="20"/>
                <w:szCs w:val="20"/>
              </w:rPr>
            </w:pPr>
            <w:r w:rsidRPr="00A14E7D">
              <w:rPr>
                <w:b/>
                <w:bCs/>
                <w:color w:val="7030A0"/>
                <w:sz w:val="20"/>
                <w:szCs w:val="20"/>
                <w:u w:val="single"/>
              </w:rPr>
              <w:t>Πίνακας 1</w:t>
            </w:r>
            <w:r w:rsidRPr="00A14E7D">
              <w:rPr>
                <w:color w:val="7030A0"/>
                <w:sz w:val="20"/>
                <w:szCs w:val="20"/>
              </w:rPr>
              <w:t xml:space="preserve">: </w:t>
            </w:r>
            <w:r w:rsidRPr="00A14E7D">
              <w:rPr>
                <w:b/>
                <w:bCs/>
                <w:color w:val="7030A0"/>
                <w:sz w:val="20"/>
                <w:szCs w:val="20"/>
              </w:rPr>
              <w:t>Προβλέψεις δημοσιονομικών μεγεθών</w:t>
            </w:r>
          </w:p>
          <w:p w:rsidR="002F0A4D" w:rsidRPr="00A14E7D" w:rsidRDefault="002F0A4D" w:rsidP="00A14E7D">
            <w:pPr>
              <w:spacing w:after="0" w:line="240" w:lineRule="auto"/>
              <w:rPr>
                <w:color w:val="7030A0"/>
              </w:rPr>
            </w:pPr>
            <w:r w:rsidRPr="00A14E7D">
              <w:rPr>
                <w:color w:val="7030A0"/>
              </w:rPr>
              <w:t>(</w:t>
            </w:r>
            <w:r w:rsidRPr="00A14E7D">
              <w:rPr>
                <w:color w:val="7030A0"/>
                <w:lang w:val="en-US"/>
              </w:rPr>
              <w:t>IMF</w:t>
            </w:r>
            <w:r w:rsidRPr="00A14E7D">
              <w:rPr>
                <w:color w:val="7030A0"/>
              </w:rPr>
              <w:t xml:space="preserve">, </w:t>
            </w:r>
            <w:hyperlink r:id="rId17" w:history="1">
              <w:r w:rsidRPr="00A14E7D">
                <w:rPr>
                  <w:rStyle w:val="Hyperlink"/>
                  <w:lang w:val="en-US"/>
                </w:rPr>
                <w:t>WorldEconomicOutlook</w:t>
              </w:r>
            </w:hyperlink>
            <w:r w:rsidRPr="00A14E7D">
              <w:rPr>
                <w:color w:val="7030A0"/>
              </w:rPr>
              <w:t>, Οκτ. 2015)</w:t>
            </w:r>
          </w:p>
          <w:p w:rsidR="002F0A4D" w:rsidRPr="00A14E7D" w:rsidRDefault="002F0A4D" w:rsidP="00A14E7D">
            <w:pPr>
              <w:spacing w:after="0" w:line="240" w:lineRule="auto"/>
              <w:jc w:val="center"/>
              <w:rPr>
                <w:b/>
                <w:bCs/>
                <w:color w:val="7030A0"/>
                <w:sz w:val="20"/>
                <w:szCs w:val="20"/>
                <w:u w:val="single"/>
                <w:lang w:val="en-US"/>
              </w:rPr>
            </w:pPr>
            <w:r w:rsidRPr="00A14E7D">
              <w:rPr>
                <w:rFonts w:eastAsia="Times New Roman" w:cs="Times New Roman"/>
              </w:rPr>
              <w:object w:dxaOrig="8129" w:dyaOrig="4141">
                <v:shape id="_x0000_i1026" type="#_x0000_t75" style="width:252pt;height:126pt" o:ole="" o:bordertopcolor="#7030a0" o:borderleftcolor="#7030a0" o:borderbottomcolor="#7030a0" o:borderrightcolor="#7030a0">
                  <v:imagedata r:id="rId18" o:title=""/>
                  <w10:bordertop type="single" width="4"/>
                  <w10:borderleft type="single" width="4"/>
                  <w10:borderbottom type="single" width="4"/>
                  <w10:borderright type="single" width="4"/>
                </v:shape>
                <o:OLEObject Type="Embed" ProgID="Paint.Picture" ShapeID="_x0000_i1026" DrawAspect="Content" ObjectID="_1506513081" r:id="rId19"/>
              </w:object>
            </w:r>
          </w:p>
          <w:p w:rsidR="002F0A4D" w:rsidRPr="00A14E7D" w:rsidRDefault="002F0A4D" w:rsidP="00A14E7D">
            <w:pPr>
              <w:spacing w:after="0" w:line="240" w:lineRule="auto"/>
              <w:rPr>
                <w:color w:val="7030A0"/>
                <w:sz w:val="20"/>
                <w:szCs w:val="20"/>
              </w:rPr>
            </w:pPr>
            <w:r w:rsidRPr="00A14E7D">
              <w:rPr>
                <w:b/>
                <w:bCs/>
                <w:color w:val="7030A0"/>
                <w:sz w:val="20"/>
                <w:szCs w:val="20"/>
                <w:u w:val="single"/>
              </w:rPr>
              <w:t>Διάγραμμα 1</w:t>
            </w:r>
            <w:r w:rsidRPr="00A14E7D">
              <w:rPr>
                <w:color w:val="7030A0"/>
                <w:sz w:val="20"/>
                <w:szCs w:val="20"/>
              </w:rPr>
              <w:t xml:space="preserve">: </w:t>
            </w:r>
            <w:r w:rsidRPr="00A14E7D">
              <w:rPr>
                <w:b/>
                <w:bCs/>
                <w:color w:val="7030A0"/>
                <w:sz w:val="20"/>
                <w:szCs w:val="20"/>
              </w:rPr>
              <w:t>Πρωτογενές πλεόνασμα Γενικής Κυβέρνησης ως % του ΑΕΠ</w:t>
            </w:r>
          </w:p>
          <w:p w:rsidR="002F0A4D" w:rsidRPr="00A14E7D" w:rsidRDefault="002F0A4D" w:rsidP="00A14E7D">
            <w:pPr>
              <w:spacing w:after="0" w:line="240" w:lineRule="auto"/>
              <w:rPr>
                <w:color w:val="7030A0"/>
              </w:rPr>
            </w:pPr>
            <w:r w:rsidRPr="00A14E7D">
              <w:rPr>
                <w:color w:val="7030A0"/>
              </w:rPr>
              <w:t xml:space="preserve">(IMF, </w:t>
            </w:r>
            <w:hyperlink r:id="rId20" w:history="1">
              <w:r w:rsidRPr="00A14E7D">
                <w:rPr>
                  <w:rStyle w:val="Hyperlink"/>
                  <w:noProof/>
                  <w:sz w:val="20"/>
                  <w:szCs w:val="20"/>
                </w:rPr>
                <w:t>Fiscal Monitor</w:t>
              </w:r>
            </w:hyperlink>
            <w:r w:rsidRPr="00A14E7D">
              <w:rPr>
                <w:color w:val="7030A0"/>
                <w:sz w:val="20"/>
                <w:szCs w:val="20"/>
              </w:rPr>
              <w:t>, Οκτ</w:t>
            </w:r>
            <w:r w:rsidRPr="00A14E7D">
              <w:rPr>
                <w:color w:val="7030A0"/>
              </w:rPr>
              <w:t>. 2015)</w:t>
            </w:r>
          </w:p>
          <w:p w:rsidR="002F0A4D" w:rsidRPr="00A14E7D" w:rsidRDefault="002F0A4D" w:rsidP="00A14E7D">
            <w:pPr>
              <w:spacing w:after="0" w:line="240" w:lineRule="auto"/>
              <w:jc w:val="center"/>
            </w:pPr>
            <w:r w:rsidRPr="00A14E7D">
              <w:rPr>
                <w:noProof/>
                <w:lang w:eastAsia="el-GR"/>
              </w:rPr>
              <w:pict>
                <v:shape id="Picture 20" o:spid="_x0000_i1027" type="#_x0000_t75" alt="cid:image001.png@01D10522.2B9E5A00" style="width:255pt;height:166.5pt;visibility:visible">
                  <v:imagedata r:id="rId21" r:href="rId22"/>
                </v:shape>
              </w:pict>
            </w:r>
          </w:p>
          <w:p w:rsidR="002F0A4D" w:rsidRPr="00A14E7D" w:rsidRDefault="002F0A4D" w:rsidP="00A14E7D">
            <w:pPr>
              <w:spacing w:after="0" w:line="240" w:lineRule="auto"/>
              <w:rPr>
                <w:sz w:val="18"/>
                <w:szCs w:val="18"/>
              </w:rPr>
            </w:pPr>
            <w:r w:rsidRPr="00A14E7D">
              <w:rPr>
                <w:sz w:val="18"/>
                <w:szCs w:val="18"/>
              </w:rPr>
              <w:br w:type="page"/>
            </w:r>
          </w:p>
          <w:p w:rsidR="002F0A4D" w:rsidRPr="00A14E7D" w:rsidRDefault="002F0A4D" w:rsidP="00A14E7D">
            <w:pPr>
              <w:spacing w:after="0" w:line="240" w:lineRule="auto"/>
              <w:rPr>
                <w:b/>
                <w:bCs/>
                <w:color w:val="7030A0"/>
                <w:sz w:val="20"/>
                <w:szCs w:val="20"/>
              </w:rPr>
            </w:pPr>
            <w:r w:rsidRPr="00A14E7D">
              <w:rPr>
                <w:b/>
                <w:bCs/>
                <w:color w:val="7030A0"/>
                <w:sz w:val="20"/>
                <w:szCs w:val="20"/>
                <w:u w:val="single"/>
              </w:rPr>
              <w:t>Πίνακας 2.</w:t>
            </w:r>
            <w:r w:rsidRPr="00A14E7D">
              <w:rPr>
                <w:b/>
                <w:bCs/>
                <w:color w:val="7030A0"/>
                <w:sz w:val="20"/>
                <w:szCs w:val="20"/>
              </w:rPr>
              <w:t>Μεγέθη φορέων γενικής κυβέρνησης</w:t>
            </w:r>
          </w:p>
          <w:p w:rsidR="002F0A4D" w:rsidRPr="00A14E7D" w:rsidRDefault="002F0A4D" w:rsidP="00A14E7D">
            <w:pPr>
              <w:spacing w:after="0" w:line="240" w:lineRule="auto"/>
              <w:rPr>
                <w:color w:val="7030A0"/>
                <w:sz w:val="18"/>
                <w:szCs w:val="18"/>
              </w:rPr>
            </w:pPr>
            <w:r w:rsidRPr="00A14E7D">
              <w:rPr>
                <w:color w:val="7030A0"/>
                <w:sz w:val="18"/>
                <w:szCs w:val="18"/>
              </w:rPr>
              <w:t>(Υπ.Οικ., Αυγ. 2015)</w:t>
            </w:r>
          </w:p>
          <w:p w:rsidR="002F0A4D" w:rsidRPr="00A14E7D" w:rsidRDefault="002F0A4D" w:rsidP="00A14E7D">
            <w:pPr>
              <w:spacing w:after="0" w:line="240" w:lineRule="auto"/>
              <w:jc w:val="center"/>
              <w:rPr>
                <w:color w:val="7030A0"/>
                <w:sz w:val="18"/>
                <w:szCs w:val="18"/>
              </w:rPr>
            </w:pPr>
            <w:r w:rsidRPr="00A14E7D">
              <w:rPr>
                <w:rFonts w:eastAsia="Times New Roman" w:cs="Times New Roman"/>
              </w:rPr>
              <w:object w:dxaOrig="6181" w:dyaOrig="4889">
                <v:shape id="_x0000_i1028" type="#_x0000_t75" style="width:195pt;height:153.75pt" o:ole="" o:bordertopcolor="#7030a0" o:borderleftcolor="#7030a0" o:borderbottomcolor="#7030a0" o:borderrightcolor="#7030a0">
                  <v:imagedata r:id="rId23" o:title=""/>
                  <w10:bordertop type="single" width="4"/>
                  <w10:borderleft type="single" width="4"/>
                  <w10:borderbottom type="single" width="4"/>
                  <w10:borderright type="single" width="4"/>
                </v:shape>
                <o:OLEObject Type="Embed" ProgID="Paint.Picture" ShapeID="_x0000_i1028" DrawAspect="Content" ObjectID="_1506513082" r:id="rId24"/>
              </w:object>
            </w:r>
          </w:p>
          <w:p w:rsidR="002F0A4D" w:rsidRPr="00A14E7D" w:rsidRDefault="002F0A4D" w:rsidP="00A14E7D">
            <w:pPr>
              <w:spacing w:after="0" w:line="240" w:lineRule="auto"/>
              <w:rPr>
                <w:color w:val="7030A0"/>
                <w:sz w:val="18"/>
                <w:szCs w:val="18"/>
              </w:rPr>
            </w:pPr>
            <w:r w:rsidRPr="00A14E7D">
              <w:rPr>
                <w:b/>
                <w:bCs/>
                <w:color w:val="7030A0"/>
                <w:sz w:val="20"/>
                <w:szCs w:val="20"/>
                <w:u w:val="single"/>
              </w:rPr>
              <w:t>Διάγραμμα 2.</w:t>
            </w:r>
            <w:r w:rsidRPr="00A14E7D">
              <w:rPr>
                <w:b/>
                <w:bCs/>
                <w:color w:val="7030A0"/>
                <w:sz w:val="20"/>
                <w:szCs w:val="20"/>
              </w:rPr>
              <w:t>Έσοδα γενικής κυβέρνησης από ασφαλιστικές εισφορές</w:t>
            </w:r>
            <w:r w:rsidRPr="00A14E7D">
              <w:rPr>
                <w:color w:val="7030A0"/>
                <w:sz w:val="18"/>
                <w:szCs w:val="18"/>
              </w:rPr>
              <w:t>(Υπ.Οικ., Αυγ. 2015)</w:t>
            </w:r>
          </w:p>
          <w:p w:rsidR="002F0A4D" w:rsidRPr="00A14E7D" w:rsidRDefault="002F0A4D" w:rsidP="00A14E7D">
            <w:pPr>
              <w:spacing w:after="0" w:line="240" w:lineRule="auto"/>
              <w:rPr>
                <w:b/>
                <w:bCs/>
                <w:color w:val="7030A0"/>
                <w:sz w:val="20"/>
                <w:szCs w:val="20"/>
              </w:rPr>
            </w:pPr>
            <w:r w:rsidRPr="00A14E7D">
              <w:rPr>
                <w:b/>
                <w:bCs/>
                <w:noProof/>
                <w:color w:val="7030A0"/>
                <w:sz w:val="20"/>
                <w:szCs w:val="20"/>
                <w:lang w:eastAsia="el-GR"/>
              </w:rPr>
              <w:pict>
                <v:shape id="Picture 71" o:spid="_x0000_i1029" type="#_x0000_t75" style="width:252pt;height:119.25pt;visibility:visible">
                  <v:imagedata r:id="rId25" o:title=""/>
                </v:shape>
              </w:pict>
            </w:r>
          </w:p>
          <w:p w:rsidR="002F0A4D" w:rsidRPr="00A14E7D" w:rsidRDefault="002F0A4D" w:rsidP="00A14E7D">
            <w:pPr>
              <w:spacing w:after="0" w:line="240" w:lineRule="auto"/>
              <w:rPr>
                <w:b/>
                <w:bCs/>
                <w:color w:val="7030A0"/>
                <w:sz w:val="20"/>
                <w:szCs w:val="20"/>
              </w:rPr>
            </w:pPr>
            <w:r w:rsidRPr="00A14E7D">
              <w:rPr>
                <w:b/>
                <w:bCs/>
                <w:color w:val="7030A0"/>
                <w:sz w:val="20"/>
                <w:szCs w:val="20"/>
                <w:u w:val="single"/>
              </w:rPr>
              <w:t>Διάγραμμα 3.</w:t>
            </w:r>
            <w:r w:rsidRPr="00A14E7D">
              <w:rPr>
                <w:b/>
                <w:bCs/>
                <w:color w:val="7030A0"/>
                <w:sz w:val="20"/>
                <w:szCs w:val="20"/>
              </w:rPr>
              <w:t>Ληξιπρόθεσμες οφειλές δημοσίου</w:t>
            </w:r>
          </w:p>
          <w:p w:rsidR="002F0A4D" w:rsidRPr="00A14E7D" w:rsidRDefault="002F0A4D" w:rsidP="00A14E7D">
            <w:pPr>
              <w:spacing w:after="0" w:line="240" w:lineRule="auto"/>
              <w:rPr>
                <w:color w:val="7030A0"/>
                <w:sz w:val="18"/>
                <w:szCs w:val="18"/>
              </w:rPr>
            </w:pPr>
            <w:r w:rsidRPr="00A14E7D">
              <w:rPr>
                <w:color w:val="7030A0"/>
                <w:sz w:val="18"/>
                <w:szCs w:val="18"/>
              </w:rPr>
              <w:t>(Υπ.Οικ., Αυγ. 2015)</w:t>
            </w:r>
          </w:p>
          <w:p w:rsidR="002F0A4D" w:rsidRPr="00A14E7D" w:rsidRDefault="002F0A4D" w:rsidP="00A14E7D">
            <w:pPr>
              <w:spacing w:after="0" w:line="240" w:lineRule="auto"/>
              <w:rPr>
                <w:b/>
                <w:bCs/>
                <w:color w:val="7030A0"/>
                <w:sz w:val="20"/>
                <w:szCs w:val="20"/>
              </w:rPr>
            </w:pPr>
            <w:r w:rsidRPr="00A14E7D">
              <w:rPr>
                <w:b/>
                <w:bCs/>
                <w:noProof/>
                <w:color w:val="7030A0"/>
                <w:sz w:val="20"/>
                <w:szCs w:val="20"/>
                <w:lang w:eastAsia="el-GR"/>
              </w:rPr>
              <w:pict>
                <v:shape id="Picture 65" o:spid="_x0000_i1030" type="#_x0000_t75" style="width:255pt;height:123pt;visibility:visible">
                  <v:imagedata r:id="rId26" o:title=""/>
                </v:shape>
              </w:pict>
            </w:r>
          </w:p>
          <w:p w:rsidR="002F0A4D" w:rsidRPr="00A14E7D" w:rsidRDefault="002F0A4D" w:rsidP="00A14E7D">
            <w:pPr>
              <w:spacing w:after="0" w:line="240" w:lineRule="auto"/>
              <w:rPr>
                <w:b/>
                <w:bCs/>
                <w:color w:val="7030A0"/>
                <w:sz w:val="20"/>
                <w:szCs w:val="20"/>
              </w:rPr>
            </w:pPr>
            <w:r w:rsidRPr="00A14E7D">
              <w:rPr>
                <w:b/>
                <w:bCs/>
                <w:color w:val="7030A0"/>
                <w:sz w:val="20"/>
                <w:szCs w:val="20"/>
                <w:u w:val="single"/>
              </w:rPr>
              <w:t>Πίνακας3.</w:t>
            </w:r>
            <w:r w:rsidRPr="00A14E7D">
              <w:rPr>
                <w:b/>
                <w:bCs/>
                <w:color w:val="7030A0"/>
                <w:sz w:val="20"/>
                <w:szCs w:val="20"/>
              </w:rPr>
              <w:t xml:space="preserve"> Εξαγωγές και εισαγωγές χωρίς καύσιμα - % μεταβολή με αντίστοιχο 8μηνο προηγούμενου έτους</w:t>
            </w:r>
          </w:p>
          <w:p w:rsidR="002F0A4D" w:rsidRPr="00A14E7D" w:rsidRDefault="002F0A4D" w:rsidP="00A14E7D">
            <w:pPr>
              <w:spacing w:after="0" w:line="240" w:lineRule="auto"/>
              <w:rPr>
                <w:color w:val="7030A0"/>
                <w:sz w:val="18"/>
                <w:szCs w:val="18"/>
              </w:rPr>
            </w:pPr>
            <w:r w:rsidRPr="00A14E7D">
              <w:rPr>
                <w:color w:val="7030A0"/>
                <w:sz w:val="18"/>
                <w:szCs w:val="18"/>
              </w:rPr>
              <w:t>(ΕΛΣΤΑΤ, Αυγ. 2015)</w:t>
            </w:r>
          </w:p>
          <w:p w:rsidR="002F0A4D" w:rsidRPr="00A14E7D" w:rsidRDefault="002F0A4D" w:rsidP="00A14E7D">
            <w:pPr>
              <w:spacing w:after="0" w:line="240" w:lineRule="auto"/>
              <w:jc w:val="center"/>
              <w:rPr>
                <w:lang w:val="en-US"/>
              </w:rPr>
            </w:pPr>
            <w:r w:rsidRPr="00A14E7D">
              <w:rPr>
                <w:rFonts w:eastAsia="Times New Roman" w:cs="Times New Roman"/>
              </w:rPr>
              <w:object w:dxaOrig="8760" w:dyaOrig="5385">
                <v:shape id="_x0000_i1031" type="#_x0000_t75" style="width:271.5pt;height:164.25pt" o:ole="" o:bordertopcolor="#7030a0" o:borderleftcolor="#7030a0" o:borderbottomcolor="#7030a0" o:borderrightcolor="#7030a0">
                  <v:imagedata r:id="rId27" o:title=""/>
                  <w10:bordertop type="single" width="4"/>
                  <w10:borderleft type="single" width="4"/>
                  <w10:borderbottom type="single" width="4"/>
                  <w10:borderright type="single" width="4"/>
                </v:shape>
                <o:OLEObject Type="Embed" ProgID="Paint.Picture" ShapeID="_x0000_i1031" DrawAspect="Content" ObjectID="_1506513083" r:id="rId28"/>
              </w:object>
            </w:r>
          </w:p>
          <w:p w:rsidR="002F0A4D" w:rsidRPr="00A14E7D" w:rsidRDefault="002F0A4D" w:rsidP="00A14E7D">
            <w:pPr>
              <w:spacing w:after="0" w:line="240" w:lineRule="auto"/>
              <w:rPr>
                <w:b/>
                <w:bCs/>
                <w:color w:val="7030A0"/>
                <w:sz w:val="20"/>
                <w:szCs w:val="20"/>
              </w:rPr>
            </w:pPr>
            <w:r w:rsidRPr="00A14E7D">
              <w:rPr>
                <w:b/>
                <w:bCs/>
                <w:color w:val="7030A0"/>
                <w:sz w:val="20"/>
                <w:szCs w:val="20"/>
                <w:u w:val="single"/>
              </w:rPr>
              <w:t>Διάγραμμα 4.</w:t>
            </w:r>
            <w:r w:rsidRPr="00A14E7D">
              <w:rPr>
                <w:b/>
                <w:bCs/>
                <w:color w:val="7030A0"/>
                <w:sz w:val="20"/>
                <w:szCs w:val="20"/>
              </w:rPr>
              <w:t xml:space="preserve"> Εξαγωγές και εισαγωγές χωρίς καύσιμα - % μεταβολή με αντίστοιχο μήνα προηγούμενου έτους</w:t>
            </w:r>
          </w:p>
          <w:p w:rsidR="002F0A4D" w:rsidRPr="00A14E7D" w:rsidRDefault="002F0A4D" w:rsidP="00A14E7D">
            <w:pPr>
              <w:spacing w:after="0" w:line="240" w:lineRule="auto"/>
              <w:rPr>
                <w:color w:val="7030A0"/>
                <w:sz w:val="18"/>
                <w:szCs w:val="18"/>
              </w:rPr>
            </w:pPr>
            <w:r w:rsidRPr="00A14E7D">
              <w:rPr>
                <w:color w:val="7030A0"/>
                <w:sz w:val="18"/>
                <w:szCs w:val="18"/>
              </w:rPr>
              <w:t>(ΕΛΣΤΑΤ, Αυγ. 2015)</w:t>
            </w:r>
          </w:p>
          <w:p w:rsidR="002F0A4D" w:rsidRPr="00A14E7D" w:rsidRDefault="002F0A4D" w:rsidP="00A14E7D">
            <w:pPr>
              <w:spacing w:after="0" w:line="240" w:lineRule="auto"/>
              <w:rPr>
                <w:b/>
                <w:bCs/>
                <w:color w:val="365F91"/>
                <w:sz w:val="18"/>
                <w:szCs w:val="18"/>
                <w:highlight w:val="green"/>
              </w:rPr>
            </w:pPr>
            <w:r w:rsidRPr="00A14E7D">
              <w:rPr>
                <w:b/>
                <w:bCs/>
                <w:noProof/>
                <w:color w:val="365F91"/>
                <w:sz w:val="18"/>
                <w:szCs w:val="18"/>
                <w:lang w:eastAsia="el-GR"/>
              </w:rPr>
              <w:pict>
                <v:shape id="Picture 23" o:spid="_x0000_i1032" type="#_x0000_t75" alt="cid:image004.png@01D102C0.0E682E20" style="width:255pt;height:131.25pt;visibility:visible">
                  <v:imagedata r:id="rId29" r:href="rId30"/>
                </v:shape>
              </w:pict>
            </w:r>
          </w:p>
          <w:p w:rsidR="002F0A4D" w:rsidRPr="00A14E7D" w:rsidRDefault="002F0A4D" w:rsidP="00A14E7D">
            <w:pPr>
              <w:spacing w:after="0" w:line="240" w:lineRule="auto"/>
              <w:rPr>
                <w:b/>
                <w:bCs/>
                <w:color w:val="7030A0"/>
                <w:sz w:val="20"/>
                <w:szCs w:val="20"/>
                <w:u w:val="single"/>
              </w:rPr>
            </w:pPr>
            <w:r w:rsidRPr="00A14E7D">
              <w:rPr>
                <w:b/>
                <w:bCs/>
                <w:color w:val="7030A0"/>
                <w:sz w:val="20"/>
                <w:szCs w:val="20"/>
                <w:u w:val="single"/>
              </w:rPr>
              <w:t>Διάγραμμα 5</w:t>
            </w:r>
            <w:r w:rsidRPr="00A14E7D">
              <w:rPr>
                <w:b/>
                <w:bCs/>
                <w:color w:val="7030A0"/>
                <w:sz w:val="20"/>
                <w:szCs w:val="20"/>
              </w:rPr>
              <w:t>: Βιομηχανική παραγωγή και PMI</w:t>
            </w:r>
          </w:p>
          <w:p w:rsidR="002F0A4D" w:rsidRPr="00A14E7D" w:rsidRDefault="002F0A4D" w:rsidP="00A14E7D">
            <w:pPr>
              <w:spacing w:after="0" w:line="240" w:lineRule="auto"/>
            </w:pPr>
            <w:r w:rsidRPr="00A14E7D">
              <w:rPr>
                <w:color w:val="7030A0"/>
                <w:sz w:val="16"/>
                <w:szCs w:val="16"/>
              </w:rPr>
              <w:t>(ΕΛΣΤΑΤ, Αυγ. 2015, Markit, Σεπ. 2015)</w:t>
            </w:r>
          </w:p>
          <w:p w:rsidR="002F0A4D" w:rsidRPr="00A14E7D" w:rsidRDefault="002F0A4D" w:rsidP="00A14E7D">
            <w:pPr>
              <w:spacing w:after="0" w:line="240" w:lineRule="auto"/>
            </w:pPr>
            <w:r w:rsidRPr="00A14E7D">
              <w:rPr>
                <w:noProof/>
                <w:color w:val="1F497D"/>
                <w:lang w:eastAsia="el-GR"/>
              </w:rPr>
              <w:pict>
                <v:shape id="Picture 9" o:spid="_x0000_i1033" type="#_x0000_t75" alt="cid:image003.png@01D102C7.5CEC42F0" style="width:255pt;height:159.75pt;visibility:visible">
                  <v:imagedata r:id="rId31" r:href="rId32"/>
                </v:shape>
              </w:pict>
            </w:r>
          </w:p>
          <w:p w:rsidR="002F0A4D" w:rsidRPr="00A14E7D" w:rsidRDefault="002F0A4D" w:rsidP="00A14E7D">
            <w:pPr>
              <w:spacing w:after="0" w:line="240" w:lineRule="auto"/>
              <w:rPr>
                <w:b/>
                <w:bCs/>
                <w:color w:val="7030A0"/>
                <w:sz w:val="20"/>
                <w:szCs w:val="20"/>
                <w:u w:val="single"/>
              </w:rPr>
            </w:pPr>
            <w:r w:rsidRPr="00A14E7D">
              <w:rPr>
                <w:b/>
                <w:bCs/>
                <w:color w:val="7030A0"/>
                <w:sz w:val="20"/>
                <w:szCs w:val="20"/>
                <w:u w:val="single"/>
              </w:rPr>
              <w:t>Διάγραμμα 6</w:t>
            </w:r>
            <w:r w:rsidRPr="00A14E7D">
              <w:rPr>
                <w:b/>
                <w:bCs/>
                <w:color w:val="7030A0"/>
                <w:sz w:val="20"/>
                <w:szCs w:val="20"/>
              </w:rPr>
              <w:t>: Βιομηχανική παραγωγή σε βασικούς κλάδους</w:t>
            </w:r>
          </w:p>
          <w:p w:rsidR="002F0A4D" w:rsidRPr="00A14E7D" w:rsidRDefault="002F0A4D" w:rsidP="00A14E7D">
            <w:pPr>
              <w:spacing w:after="0" w:line="240" w:lineRule="auto"/>
              <w:rPr>
                <w:color w:val="7030A0"/>
              </w:rPr>
            </w:pPr>
            <w:r w:rsidRPr="00A14E7D">
              <w:rPr>
                <w:color w:val="7030A0"/>
                <w:sz w:val="16"/>
                <w:szCs w:val="16"/>
              </w:rPr>
              <w:t>(ΕΛΣΤΑΤ, Αυγ. 2015)</w:t>
            </w:r>
          </w:p>
          <w:p w:rsidR="002F0A4D" w:rsidRPr="00A14E7D" w:rsidRDefault="002F0A4D" w:rsidP="00A14E7D">
            <w:pPr>
              <w:spacing w:after="0" w:line="240" w:lineRule="auto"/>
            </w:pPr>
            <w:r w:rsidRPr="00A14E7D">
              <w:rPr>
                <w:noProof/>
                <w:lang w:eastAsia="el-GR"/>
              </w:rPr>
              <w:pict>
                <v:shape id="Picture 64" o:spid="_x0000_i1034" type="#_x0000_t75" style="width:254.25pt;height:165.75pt;visibility:visible">
                  <v:imagedata r:id="rId33" o:title=""/>
                </v:shape>
              </w:pict>
            </w:r>
          </w:p>
          <w:p w:rsidR="002F0A4D" w:rsidRPr="00A14E7D" w:rsidRDefault="002F0A4D" w:rsidP="00A14E7D">
            <w:pPr>
              <w:spacing w:after="0" w:line="240" w:lineRule="auto"/>
              <w:rPr>
                <w:b/>
                <w:bCs/>
                <w:color w:val="7030A0"/>
                <w:sz w:val="20"/>
                <w:szCs w:val="20"/>
                <w:u w:val="single"/>
              </w:rPr>
            </w:pPr>
            <w:r w:rsidRPr="00A14E7D">
              <w:rPr>
                <w:b/>
                <w:bCs/>
                <w:color w:val="7030A0"/>
                <w:sz w:val="20"/>
                <w:szCs w:val="20"/>
                <w:u w:val="single"/>
              </w:rPr>
              <w:t>Διάγραμμα 7</w:t>
            </w:r>
            <w:r w:rsidRPr="00A14E7D">
              <w:rPr>
                <w:b/>
                <w:bCs/>
                <w:color w:val="7030A0"/>
                <w:sz w:val="20"/>
                <w:szCs w:val="20"/>
              </w:rPr>
              <w:t>: Ποσοστό ανεργίας (εποχικά διορθωμένο)</w:t>
            </w:r>
          </w:p>
          <w:p w:rsidR="002F0A4D" w:rsidRPr="00A14E7D" w:rsidRDefault="002F0A4D" w:rsidP="00A14E7D">
            <w:pPr>
              <w:spacing w:after="0" w:line="240" w:lineRule="auto"/>
              <w:rPr>
                <w:color w:val="7030A0"/>
              </w:rPr>
            </w:pPr>
            <w:r w:rsidRPr="00A14E7D">
              <w:rPr>
                <w:color w:val="7030A0"/>
                <w:sz w:val="16"/>
                <w:szCs w:val="16"/>
              </w:rPr>
              <w:t>(ΕΛΣΤΑΤ, Ιουλ. 2015)</w:t>
            </w:r>
          </w:p>
          <w:p w:rsidR="002F0A4D" w:rsidRPr="00A14E7D" w:rsidRDefault="002F0A4D" w:rsidP="00A14E7D">
            <w:pPr>
              <w:spacing w:after="0" w:line="240" w:lineRule="auto"/>
            </w:pPr>
            <w:r w:rsidRPr="00A14E7D">
              <w:rPr>
                <w:noProof/>
                <w:color w:val="1F497D"/>
                <w:lang w:eastAsia="el-GR"/>
              </w:rPr>
              <w:pict>
                <v:shape id="Picture 30" o:spid="_x0000_i1035" type="#_x0000_t75" alt="cid:image003.png@01D105D2.0A7F9720" style="width:255pt;height:148.5pt;visibility:visible">
                  <v:imagedata r:id="rId34" r:href="rId35"/>
                </v:shape>
              </w:pict>
            </w:r>
          </w:p>
          <w:p w:rsidR="002F0A4D" w:rsidRPr="00A14E7D" w:rsidRDefault="002F0A4D" w:rsidP="00A14E7D">
            <w:pPr>
              <w:spacing w:after="0" w:line="240" w:lineRule="auto"/>
              <w:rPr>
                <w:b/>
                <w:bCs/>
                <w:color w:val="7030A0"/>
                <w:sz w:val="20"/>
                <w:szCs w:val="20"/>
                <w:u w:val="single"/>
              </w:rPr>
            </w:pPr>
            <w:r w:rsidRPr="00A14E7D">
              <w:rPr>
                <w:b/>
                <w:bCs/>
                <w:color w:val="7030A0"/>
                <w:sz w:val="20"/>
                <w:szCs w:val="20"/>
                <w:u w:val="single"/>
              </w:rPr>
              <w:t>Διάγραμμα 8</w:t>
            </w:r>
            <w:r w:rsidRPr="00A14E7D">
              <w:rPr>
                <w:b/>
                <w:bCs/>
                <w:color w:val="7030A0"/>
                <w:sz w:val="20"/>
                <w:szCs w:val="20"/>
              </w:rPr>
              <w:t xml:space="preserve">: Καθαρή ροή μισθωτής εργασίας </w:t>
            </w:r>
          </w:p>
          <w:p w:rsidR="002F0A4D" w:rsidRPr="00A14E7D" w:rsidRDefault="002F0A4D" w:rsidP="00A14E7D">
            <w:pPr>
              <w:spacing w:after="0" w:line="240" w:lineRule="auto"/>
            </w:pPr>
            <w:r w:rsidRPr="00A14E7D">
              <w:rPr>
                <w:color w:val="7030A0"/>
                <w:sz w:val="16"/>
                <w:szCs w:val="16"/>
              </w:rPr>
              <w:t>(ΕΡΓΑΝΗ, Σεπτ. 2015)</w:t>
            </w:r>
          </w:p>
          <w:p w:rsidR="002F0A4D" w:rsidRPr="00A14E7D" w:rsidRDefault="002F0A4D" w:rsidP="00A14E7D">
            <w:pPr>
              <w:spacing w:after="0" w:line="240" w:lineRule="auto"/>
              <w:rPr>
                <w:b/>
                <w:bCs/>
                <w:color w:val="1F497D"/>
              </w:rPr>
            </w:pPr>
            <w:r w:rsidRPr="00A14E7D">
              <w:rPr>
                <w:b/>
                <w:bCs/>
                <w:noProof/>
                <w:color w:val="1F497D"/>
                <w:lang w:eastAsia="el-GR"/>
              </w:rPr>
              <w:pict>
                <v:shape id="Picture 1" o:spid="_x0000_i1036" type="#_x0000_t75" style="width:252pt;height:117pt;visibility:visible">
                  <v:imagedata r:id="rId36" o:title=""/>
                </v:shape>
              </w:pict>
            </w:r>
          </w:p>
          <w:p w:rsidR="002F0A4D" w:rsidRPr="00A14E7D" w:rsidRDefault="002F0A4D" w:rsidP="00A14E7D">
            <w:pPr>
              <w:spacing w:after="0" w:line="240" w:lineRule="auto"/>
              <w:rPr>
                <w:color w:val="7030A0"/>
              </w:rPr>
            </w:pPr>
            <w:r w:rsidRPr="00A14E7D">
              <w:rPr>
                <w:b/>
                <w:bCs/>
                <w:color w:val="7030A0"/>
                <w:sz w:val="20"/>
                <w:szCs w:val="20"/>
                <w:u w:val="single"/>
              </w:rPr>
              <w:t>Διάγραμμα 9</w:t>
            </w:r>
            <w:r w:rsidRPr="00A14E7D">
              <w:rPr>
                <w:b/>
                <w:bCs/>
                <w:color w:val="7030A0"/>
                <w:sz w:val="20"/>
                <w:szCs w:val="20"/>
              </w:rPr>
              <w:t xml:space="preserve">: Δείκτης Τιμών Καταναλωτή – γενικός και κύριες ομάδες </w:t>
            </w:r>
            <w:r w:rsidRPr="00A14E7D">
              <w:rPr>
                <w:color w:val="7030A0"/>
                <w:sz w:val="16"/>
                <w:szCs w:val="16"/>
              </w:rPr>
              <w:t>(ΕΛΣΤΑΤ, Σεπ. 2015)</w:t>
            </w:r>
          </w:p>
          <w:p w:rsidR="002F0A4D" w:rsidRPr="00A14E7D" w:rsidRDefault="002F0A4D" w:rsidP="00A14E7D">
            <w:pPr>
              <w:spacing w:after="0" w:line="240" w:lineRule="auto"/>
              <w:rPr>
                <w:rFonts w:ascii="Arial" w:hAnsi="Arial" w:cs="Arial"/>
                <w:b/>
                <w:bCs/>
                <w:color w:val="003399"/>
                <w:sz w:val="18"/>
                <w:szCs w:val="18"/>
                <w:lang w:val="en-US" w:eastAsia="el-GR"/>
              </w:rPr>
            </w:pPr>
            <w:r w:rsidRPr="00A14E7D">
              <w:rPr>
                <w:rFonts w:ascii="Arial" w:hAnsi="Arial" w:cs="Arial"/>
                <w:b/>
                <w:bCs/>
                <w:noProof/>
                <w:color w:val="1F497D"/>
                <w:sz w:val="18"/>
                <w:szCs w:val="18"/>
                <w:lang w:eastAsia="el-GR"/>
              </w:rPr>
              <w:pict>
                <v:shape id="Picture 73" o:spid="_x0000_i1037" type="#_x0000_t75" alt="cid:image005.png@01D105D5.B0C1D140" style="width:255pt;height:156.75pt;visibility:visible">
                  <v:imagedata r:id="rId37" r:href="rId38"/>
                </v:shape>
              </w:pict>
            </w:r>
          </w:p>
          <w:p w:rsidR="002F0A4D" w:rsidRPr="00A14E7D" w:rsidRDefault="002F0A4D" w:rsidP="00A14E7D">
            <w:pPr>
              <w:spacing w:after="0" w:line="240" w:lineRule="auto"/>
              <w:rPr>
                <w:b/>
                <w:bCs/>
                <w:color w:val="7030A0"/>
                <w:sz w:val="20"/>
                <w:szCs w:val="20"/>
                <w:u w:val="single"/>
              </w:rPr>
            </w:pPr>
          </w:p>
          <w:p w:rsidR="002F0A4D" w:rsidRPr="00A14E7D" w:rsidRDefault="002F0A4D" w:rsidP="00A14E7D">
            <w:pPr>
              <w:spacing w:after="0" w:line="240" w:lineRule="auto"/>
              <w:rPr>
                <w:b/>
                <w:bCs/>
                <w:color w:val="7030A0"/>
                <w:sz w:val="20"/>
                <w:szCs w:val="20"/>
                <w:u w:val="single"/>
              </w:rPr>
            </w:pPr>
            <w:r w:rsidRPr="00A14E7D">
              <w:rPr>
                <w:b/>
                <w:bCs/>
                <w:color w:val="7030A0"/>
                <w:sz w:val="20"/>
                <w:szCs w:val="20"/>
                <w:u w:val="single"/>
              </w:rPr>
              <w:t>Διάγραμμα 10</w:t>
            </w:r>
            <w:r w:rsidRPr="00A14E7D">
              <w:rPr>
                <w:b/>
                <w:bCs/>
                <w:color w:val="7030A0"/>
                <w:sz w:val="20"/>
                <w:szCs w:val="20"/>
              </w:rPr>
              <w:t xml:space="preserve">: Ιδιωτική οικοδομική δραστηριότητα </w:t>
            </w:r>
          </w:p>
          <w:p w:rsidR="002F0A4D" w:rsidRPr="00A14E7D" w:rsidRDefault="002F0A4D" w:rsidP="00A14E7D">
            <w:pPr>
              <w:spacing w:after="0" w:line="240" w:lineRule="auto"/>
              <w:rPr>
                <w:color w:val="1F497D"/>
              </w:rPr>
            </w:pPr>
            <w:r w:rsidRPr="00A14E7D">
              <w:rPr>
                <w:color w:val="7030A0"/>
                <w:sz w:val="16"/>
                <w:szCs w:val="16"/>
              </w:rPr>
              <w:t>(ΕΛΣΤΑΤ, Ιουλ. 2015)</w:t>
            </w:r>
          </w:p>
          <w:p w:rsidR="002F0A4D" w:rsidRPr="00A14E7D" w:rsidRDefault="002F0A4D" w:rsidP="00A14E7D">
            <w:pPr>
              <w:spacing w:after="0" w:line="240" w:lineRule="auto"/>
              <w:rPr>
                <w:b/>
                <w:bCs/>
                <w:color w:val="7030A0"/>
                <w:sz w:val="20"/>
                <w:szCs w:val="20"/>
                <w:u w:val="single"/>
              </w:rPr>
            </w:pPr>
            <w:r w:rsidRPr="00A14E7D">
              <w:rPr>
                <w:noProof/>
                <w:color w:val="1F497D"/>
                <w:lang w:eastAsia="el-GR"/>
              </w:rPr>
              <w:pict>
                <v:shape id="Picture 75" o:spid="_x0000_i1038" type="#_x0000_t75" alt="cid:image001.png@01D105D7.AC782EC0" style="width:255pt;height:166.5pt;visibility:visible">
                  <v:imagedata r:id="rId39" r:href="rId40"/>
                </v:shape>
              </w:pict>
            </w:r>
          </w:p>
          <w:p w:rsidR="002F0A4D" w:rsidRPr="00A14E7D" w:rsidRDefault="002F0A4D" w:rsidP="00A14E7D">
            <w:pPr>
              <w:spacing w:after="0" w:line="240" w:lineRule="auto"/>
              <w:rPr>
                <w:b/>
                <w:bCs/>
                <w:color w:val="7030A0"/>
                <w:sz w:val="20"/>
                <w:szCs w:val="20"/>
                <w:u w:val="single"/>
              </w:rPr>
            </w:pPr>
          </w:p>
          <w:p w:rsidR="002F0A4D" w:rsidRPr="00A14E7D" w:rsidRDefault="002F0A4D" w:rsidP="00A14E7D">
            <w:pPr>
              <w:spacing w:after="0" w:line="240" w:lineRule="auto"/>
              <w:rPr>
                <w:b/>
                <w:bCs/>
                <w:color w:val="7030A0"/>
                <w:sz w:val="20"/>
                <w:szCs w:val="20"/>
                <w:u w:val="single"/>
              </w:rPr>
            </w:pPr>
            <w:r w:rsidRPr="00A14E7D">
              <w:rPr>
                <w:b/>
                <w:bCs/>
                <w:color w:val="7030A0"/>
                <w:sz w:val="20"/>
                <w:szCs w:val="20"/>
                <w:u w:val="single"/>
              </w:rPr>
              <w:t>Διάγραμμα 11</w:t>
            </w:r>
            <w:r w:rsidRPr="00A14E7D">
              <w:rPr>
                <w:b/>
                <w:bCs/>
                <w:color w:val="7030A0"/>
                <w:sz w:val="20"/>
                <w:szCs w:val="20"/>
              </w:rPr>
              <w:t>: Χορήγηση αδειών κυκλοφορίας οχημάτων</w:t>
            </w:r>
          </w:p>
          <w:p w:rsidR="002F0A4D" w:rsidRPr="00A14E7D" w:rsidRDefault="002F0A4D" w:rsidP="00A14E7D">
            <w:pPr>
              <w:spacing w:after="0" w:line="240" w:lineRule="auto"/>
              <w:rPr>
                <w:color w:val="7030A0"/>
              </w:rPr>
            </w:pPr>
            <w:r w:rsidRPr="00A14E7D">
              <w:rPr>
                <w:color w:val="7030A0"/>
                <w:sz w:val="16"/>
                <w:szCs w:val="16"/>
              </w:rPr>
              <w:t>(ΕΛΣΤΑΤ, Σεπ. 2015)</w:t>
            </w:r>
          </w:p>
          <w:p w:rsidR="002F0A4D" w:rsidRPr="00A14E7D" w:rsidRDefault="002F0A4D" w:rsidP="00A14E7D">
            <w:pPr>
              <w:spacing w:after="0" w:line="240" w:lineRule="auto"/>
              <w:rPr>
                <w:b/>
                <w:bCs/>
                <w:color w:val="7030A0"/>
                <w:sz w:val="20"/>
                <w:szCs w:val="20"/>
                <w:u w:val="single"/>
              </w:rPr>
            </w:pPr>
            <w:r w:rsidRPr="00A14E7D">
              <w:rPr>
                <w:noProof/>
                <w:color w:val="1F497D"/>
                <w:lang w:eastAsia="el-GR"/>
              </w:rPr>
              <w:pict>
                <v:shape id="Picture 78" o:spid="_x0000_i1039" type="#_x0000_t75" alt="cid:image002.png@01D105D9.7E0405D0" style="width:255pt;height:166.5pt;visibility:visible">
                  <v:imagedata r:id="rId41" r:href="rId42"/>
                </v:shape>
              </w:pict>
            </w:r>
          </w:p>
          <w:p w:rsidR="002F0A4D" w:rsidRPr="00A14E7D" w:rsidRDefault="002F0A4D" w:rsidP="00A14E7D">
            <w:pPr>
              <w:spacing w:after="0" w:line="240" w:lineRule="auto"/>
              <w:rPr>
                <w:b/>
                <w:bCs/>
                <w:color w:val="7030A0"/>
                <w:sz w:val="20"/>
                <w:szCs w:val="20"/>
                <w:u w:val="single"/>
              </w:rPr>
            </w:pPr>
          </w:p>
          <w:p w:rsidR="002F0A4D" w:rsidRPr="00A14E7D" w:rsidRDefault="002F0A4D" w:rsidP="00A14E7D">
            <w:pPr>
              <w:spacing w:after="0" w:line="240" w:lineRule="auto"/>
              <w:rPr>
                <w:b/>
                <w:bCs/>
                <w:color w:val="7030A0"/>
                <w:sz w:val="20"/>
                <w:szCs w:val="20"/>
                <w:u w:val="single"/>
              </w:rPr>
            </w:pPr>
          </w:p>
          <w:p w:rsidR="002F0A4D" w:rsidRPr="00A14E7D" w:rsidRDefault="002F0A4D" w:rsidP="00A14E7D">
            <w:pPr>
              <w:spacing w:after="0" w:line="240" w:lineRule="auto"/>
              <w:rPr>
                <w:color w:val="7030A0"/>
              </w:rPr>
            </w:pPr>
            <w:r w:rsidRPr="00A14E7D">
              <w:rPr>
                <w:b/>
                <w:bCs/>
                <w:color w:val="7030A0"/>
                <w:sz w:val="20"/>
                <w:szCs w:val="20"/>
                <w:u w:val="single"/>
              </w:rPr>
              <w:t>Διάγραμμα 12</w:t>
            </w:r>
            <w:r w:rsidRPr="00A14E7D">
              <w:rPr>
                <w:b/>
                <w:bCs/>
                <w:color w:val="7030A0"/>
                <w:sz w:val="20"/>
                <w:szCs w:val="20"/>
              </w:rPr>
              <w:t xml:space="preserve">: Μεταρρυθμίσεις αγορών δικτύων και απασχόληση </w:t>
            </w:r>
            <w:r w:rsidRPr="00A14E7D">
              <w:rPr>
                <w:color w:val="7030A0"/>
                <w:sz w:val="16"/>
                <w:szCs w:val="16"/>
              </w:rPr>
              <w:t>(ΟΟΣΑ, στοιχεία διαθέσιμα 2015)</w:t>
            </w:r>
          </w:p>
          <w:p w:rsidR="002F0A4D" w:rsidRPr="00A14E7D" w:rsidRDefault="002F0A4D" w:rsidP="00A14E7D">
            <w:pPr>
              <w:spacing w:after="0" w:line="240" w:lineRule="auto"/>
              <w:jc w:val="center"/>
            </w:pPr>
          </w:p>
          <w:p w:rsidR="002F0A4D" w:rsidRPr="00A14E7D" w:rsidRDefault="002F0A4D" w:rsidP="00A14E7D">
            <w:pPr>
              <w:spacing w:after="0" w:line="240" w:lineRule="auto"/>
              <w:rPr>
                <w:b/>
                <w:bCs/>
                <w:color w:val="7030A0"/>
                <w:sz w:val="20"/>
                <w:szCs w:val="20"/>
              </w:rPr>
            </w:pPr>
            <w:r w:rsidRPr="00A14E7D">
              <w:rPr>
                <w:b/>
                <w:bCs/>
                <w:noProof/>
                <w:color w:val="7030A0"/>
                <w:sz w:val="20"/>
                <w:szCs w:val="20"/>
                <w:lang w:eastAsia="el-GR"/>
              </w:rPr>
              <w:pict>
                <v:shape id="Picture 2" o:spid="_x0000_i1040" type="#_x0000_t75" style="width:244.5pt;height:182.25pt;visibility:visible">
                  <v:imagedata r:id="rId43" o:title=""/>
                </v:shape>
              </w:pict>
            </w:r>
          </w:p>
          <w:p w:rsidR="002F0A4D" w:rsidRPr="00A14E7D" w:rsidRDefault="002F0A4D" w:rsidP="00A14E7D">
            <w:pPr>
              <w:spacing w:after="0" w:line="240" w:lineRule="auto"/>
              <w:rPr>
                <w:b/>
                <w:bCs/>
                <w:color w:val="7030A0"/>
                <w:sz w:val="20"/>
                <w:szCs w:val="20"/>
                <w:u w:val="single"/>
              </w:rPr>
            </w:pPr>
          </w:p>
          <w:p w:rsidR="002F0A4D" w:rsidRPr="00A14E7D" w:rsidRDefault="002F0A4D" w:rsidP="00A14E7D">
            <w:pPr>
              <w:spacing w:after="0" w:line="240" w:lineRule="auto"/>
              <w:rPr>
                <w:b/>
                <w:bCs/>
                <w:color w:val="7030A0"/>
                <w:sz w:val="20"/>
                <w:szCs w:val="20"/>
                <w:u w:val="single"/>
              </w:rPr>
            </w:pPr>
          </w:p>
          <w:p w:rsidR="002F0A4D" w:rsidRPr="00A14E7D" w:rsidRDefault="002F0A4D" w:rsidP="00A14E7D">
            <w:pPr>
              <w:spacing w:after="0" w:line="240" w:lineRule="auto"/>
              <w:rPr>
                <w:b/>
                <w:bCs/>
                <w:color w:val="7030A0"/>
                <w:sz w:val="20"/>
                <w:szCs w:val="20"/>
                <w:u w:val="single"/>
              </w:rPr>
            </w:pPr>
          </w:p>
          <w:p w:rsidR="002F0A4D" w:rsidRPr="00A14E7D" w:rsidRDefault="002F0A4D" w:rsidP="00A14E7D">
            <w:pPr>
              <w:spacing w:after="0" w:line="240" w:lineRule="auto"/>
              <w:rPr>
                <w:b/>
                <w:bCs/>
                <w:color w:val="7030A0"/>
                <w:sz w:val="20"/>
                <w:szCs w:val="20"/>
                <w:u w:val="single"/>
              </w:rPr>
            </w:pPr>
          </w:p>
          <w:p w:rsidR="002F0A4D" w:rsidRPr="00A14E7D" w:rsidRDefault="002F0A4D" w:rsidP="00A14E7D">
            <w:pPr>
              <w:spacing w:after="0" w:line="240" w:lineRule="auto"/>
              <w:rPr>
                <w:b/>
                <w:bCs/>
                <w:color w:val="7030A0"/>
                <w:sz w:val="20"/>
                <w:szCs w:val="20"/>
                <w:u w:val="single"/>
              </w:rPr>
            </w:pPr>
          </w:p>
          <w:p w:rsidR="002F0A4D" w:rsidRPr="00A14E7D" w:rsidRDefault="002F0A4D" w:rsidP="00A14E7D">
            <w:pPr>
              <w:spacing w:after="0" w:line="240" w:lineRule="auto"/>
              <w:rPr>
                <w:color w:val="7030A0"/>
              </w:rPr>
            </w:pPr>
            <w:r w:rsidRPr="00A14E7D">
              <w:rPr>
                <w:b/>
                <w:bCs/>
                <w:color w:val="7030A0"/>
                <w:sz w:val="20"/>
                <w:szCs w:val="20"/>
                <w:u w:val="single"/>
              </w:rPr>
              <w:t>Διάγραμμα 13</w:t>
            </w:r>
            <w:r w:rsidRPr="00A14E7D">
              <w:rPr>
                <w:b/>
                <w:bCs/>
                <w:color w:val="7030A0"/>
                <w:sz w:val="20"/>
                <w:szCs w:val="20"/>
              </w:rPr>
              <w:t xml:space="preserve">: Μεταρρυθμίσεις αγορών δικτύων – Ελλάδα και μ.ο. ΟΟΣΑ </w:t>
            </w:r>
            <w:r w:rsidRPr="00A14E7D">
              <w:rPr>
                <w:color w:val="7030A0"/>
                <w:sz w:val="16"/>
                <w:szCs w:val="16"/>
              </w:rPr>
              <w:t>(ΟΟΣΑ, στοιχεία διαθέσιμα 2015. Δείκτης ρύθμισης με τιμή 0-7, ψηλότερη τιμή = χειρότερη επίδοση)</w:t>
            </w:r>
          </w:p>
          <w:p w:rsidR="002F0A4D" w:rsidRPr="00A14E7D" w:rsidRDefault="002F0A4D" w:rsidP="00A14E7D">
            <w:pPr>
              <w:spacing w:after="0" w:line="240" w:lineRule="auto"/>
              <w:jc w:val="center"/>
            </w:pPr>
            <w:r w:rsidRPr="00A14E7D">
              <w:rPr>
                <w:noProof/>
                <w:lang w:eastAsia="el-GR"/>
              </w:rPr>
              <w:pict>
                <v:shape id="Picture 67" o:spid="_x0000_i1041" type="#_x0000_t75" style="width:252pt;height:107.25pt;visibility:visible">
                  <v:imagedata r:id="rId44" o:title=""/>
                </v:shape>
              </w:pict>
            </w:r>
          </w:p>
          <w:p w:rsidR="002F0A4D" w:rsidRPr="00A14E7D" w:rsidRDefault="002F0A4D" w:rsidP="00A14E7D">
            <w:pPr>
              <w:spacing w:after="0" w:line="240" w:lineRule="auto"/>
              <w:rPr>
                <w:color w:val="7030A0"/>
              </w:rPr>
            </w:pPr>
            <w:r w:rsidRPr="00A14E7D">
              <w:rPr>
                <w:b/>
                <w:bCs/>
                <w:color w:val="7030A0"/>
                <w:sz w:val="20"/>
                <w:szCs w:val="20"/>
                <w:u w:val="single"/>
              </w:rPr>
              <w:t>Διάγραμμα 14</w:t>
            </w:r>
            <w:r w:rsidRPr="00A14E7D">
              <w:rPr>
                <w:b/>
                <w:bCs/>
                <w:color w:val="7030A0"/>
                <w:sz w:val="20"/>
                <w:szCs w:val="20"/>
              </w:rPr>
              <w:t xml:space="preserve">: Τονοχιλιόμετρα σιδηροδρομικών εμπορευματικών μεταφορών ως ποσοστό αντίστοιχων οδικών μεταφορών  </w:t>
            </w:r>
            <w:r w:rsidRPr="00A14E7D">
              <w:rPr>
                <w:color w:val="7030A0"/>
                <w:sz w:val="16"/>
                <w:szCs w:val="16"/>
              </w:rPr>
              <w:t>(</w:t>
            </w:r>
            <w:r w:rsidRPr="00A14E7D">
              <w:rPr>
                <w:color w:val="7030A0"/>
                <w:sz w:val="16"/>
                <w:szCs w:val="16"/>
                <w:lang w:val="en-US"/>
              </w:rPr>
              <w:t>Eurostat</w:t>
            </w:r>
            <w:r w:rsidRPr="00A14E7D">
              <w:rPr>
                <w:color w:val="7030A0"/>
                <w:sz w:val="16"/>
                <w:szCs w:val="16"/>
              </w:rPr>
              <w:t>, 2011)</w:t>
            </w:r>
          </w:p>
          <w:p w:rsidR="002F0A4D" w:rsidRPr="00A14E7D" w:rsidRDefault="002F0A4D" w:rsidP="00A14E7D">
            <w:pPr>
              <w:spacing w:after="0" w:line="240" w:lineRule="auto"/>
              <w:jc w:val="center"/>
            </w:pPr>
            <w:r w:rsidRPr="00A14E7D">
              <w:rPr>
                <w:noProof/>
                <w:lang w:eastAsia="el-GR"/>
              </w:rPr>
              <w:pict>
                <v:shape id="Picture 76" o:spid="_x0000_i1042" type="#_x0000_t75" style="width:252pt;height:146.25pt;visibility:visible">
                  <v:imagedata r:id="rId45" o:title=""/>
                </v:shape>
              </w:pict>
            </w:r>
          </w:p>
          <w:p w:rsidR="002F0A4D" w:rsidRPr="00A14E7D" w:rsidRDefault="002F0A4D" w:rsidP="00A14E7D">
            <w:pPr>
              <w:spacing w:after="0" w:line="240" w:lineRule="auto"/>
              <w:rPr>
                <w:color w:val="7030A0"/>
              </w:rPr>
            </w:pPr>
            <w:r w:rsidRPr="00A14E7D">
              <w:rPr>
                <w:b/>
                <w:bCs/>
                <w:color w:val="7030A0"/>
                <w:sz w:val="20"/>
                <w:szCs w:val="20"/>
                <w:u w:val="single"/>
              </w:rPr>
              <w:t>Διάγραμμα 15</w:t>
            </w:r>
            <w:r w:rsidRPr="00A14E7D">
              <w:rPr>
                <w:b/>
                <w:bCs/>
                <w:color w:val="7030A0"/>
                <w:sz w:val="20"/>
                <w:szCs w:val="20"/>
              </w:rPr>
              <w:t xml:space="preserve">: Ρύθμιση αγοράς εμπορευματικών οδικών μεταφορών και αναποτελεσματικότητα οδικών μεταφορών μέσω αύξησης διαδρομών χωρίς φορτίο </w:t>
            </w:r>
            <w:r w:rsidRPr="00A14E7D">
              <w:rPr>
                <w:color w:val="7030A0"/>
                <w:sz w:val="16"/>
                <w:szCs w:val="16"/>
              </w:rPr>
              <w:t xml:space="preserve">(ΟΟΣΑ 2013, </w:t>
            </w:r>
            <w:r w:rsidRPr="00A14E7D">
              <w:rPr>
                <w:color w:val="7030A0"/>
                <w:sz w:val="16"/>
                <w:szCs w:val="16"/>
                <w:lang w:val="en-US"/>
              </w:rPr>
              <w:t>Eurostat</w:t>
            </w:r>
            <w:r w:rsidRPr="00A14E7D">
              <w:rPr>
                <w:color w:val="7030A0"/>
                <w:sz w:val="16"/>
                <w:szCs w:val="16"/>
              </w:rPr>
              <w:t>, 2012)</w:t>
            </w:r>
          </w:p>
          <w:p w:rsidR="002F0A4D" w:rsidRPr="00A14E7D" w:rsidRDefault="002F0A4D" w:rsidP="00A14E7D">
            <w:pPr>
              <w:spacing w:after="0" w:line="240" w:lineRule="auto"/>
              <w:jc w:val="center"/>
            </w:pPr>
            <w:r w:rsidRPr="00A14E7D">
              <w:rPr>
                <w:noProof/>
                <w:lang w:eastAsia="el-GR"/>
              </w:rPr>
              <w:pict>
                <v:shape id="Picture 8" o:spid="_x0000_i1043" type="#_x0000_t75" style="width:252pt;height:160.5pt;visibility:visible">
                  <v:imagedata r:id="rId46" o:title=""/>
                </v:shape>
              </w:pict>
            </w:r>
          </w:p>
          <w:p w:rsidR="002F0A4D" w:rsidRPr="00A14E7D" w:rsidRDefault="002F0A4D" w:rsidP="00A14E7D">
            <w:pPr>
              <w:spacing w:after="0" w:line="240" w:lineRule="auto"/>
              <w:rPr>
                <w:color w:val="7030A0"/>
                <w:sz w:val="18"/>
                <w:szCs w:val="18"/>
              </w:rPr>
            </w:pPr>
            <w:r w:rsidRPr="00A14E7D">
              <w:rPr>
                <w:b/>
                <w:bCs/>
                <w:color w:val="7030A0"/>
                <w:sz w:val="20"/>
                <w:szCs w:val="20"/>
                <w:u w:val="single"/>
              </w:rPr>
              <w:t>Διάγραμμα 16</w:t>
            </w:r>
            <w:r w:rsidRPr="00A14E7D">
              <w:rPr>
                <w:b/>
                <w:bCs/>
                <w:color w:val="7030A0"/>
                <w:sz w:val="20"/>
                <w:szCs w:val="20"/>
              </w:rPr>
              <w:t>: Μεταβλητό κόστος ηλεκτρικού ρεύματος, Α εξάμηνο 2012</w:t>
            </w:r>
            <w:hyperlink r:id="rId47" w:history="1">
              <w:r w:rsidRPr="00A14E7D">
                <w:rPr>
                  <w:rStyle w:val="Hyperlink"/>
                  <w:sz w:val="18"/>
                  <w:szCs w:val="18"/>
                </w:rPr>
                <w:t>(ΡΑΕ</w:t>
              </w:r>
            </w:hyperlink>
            <w:r w:rsidRPr="00A14E7D">
              <w:rPr>
                <w:color w:val="7030A0"/>
                <w:sz w:val="18"/>
                <w:szCs w:val="18"/>
              </w:rPr>
              <w:t xml:space="preserve"> για 3,  </w:t>
            </w:r>
            <w:hyperlink r:id="rId48" w:history="1">
              <w:r w:rsidRPr="00A14E7D">
                <w:rPr>
                  <w:rStyle w:val="Hyperlink"/>
                  <w:sz w:val="18"/>
                  <w:szCs w:val="18"/>
                </w:rPr>
                <w:t>ΕΣΑΗ</w:t>
              </w:r>
            </w:hyperlink>
            <w:r w:rsidRPr="00A14E7D">
              <w:rPr>
                <w:color w:val="7030A0"/>
                <w:sz w:val="18"/>
                <w:szCs w:val="18"/>
              </w:rPr>
              <w:t xml:space="preserve"> για 1&amp;2, ΦΑ: φυσικού αερίου)</w:t>
            </w:r>
          </w:p>
          <w:p w:rsidR="002F0A4D" w:rsidRPr="00A14E7D" w:rsidRDefault="002F0A4D" w:rsidP="00A14E7D">
            <w:pPr>
              <w:spacing w:after="0" w:line="240" w:lineRule="auto"/>
              <w:jc w:val="center"/>
            </w:pPr>
            <w:r w:rsidRPr="00A14E7D">
              <w:rPr>
                <w:noProof/>
                <w:lang w:eastAsia="el-GR"/>
              </w:rPr>
              <w:pict>
                <v:shape id="Picture 74" o:spid="_x0000_i1044" type="#_x0000_t75" style="width:259.5pt;height:144.75pt;visibility:visible">
                  <v:imagedata r:id="rId49" o:title=""/>
                </v:shape>
              </w:pict>
            </w:r>
          </w:p>
        </w:tc>
      </w:tr>
    </w:tbl>
    <w:p w:rsidR="002F0A4D" w:rsidRPr="00400B64" w:rsidRDefault="002F0A4D" w:rsidP="008176FA">
      <w:pPr>
        <w:spacing w:after="0" w:line="240" w:lineRule="auto"/>
        <w:ind w:right="543"/>
        <w:jc w:val="both"/>
        <w:rPr>
          <w:rFonts w:ascii="Georgia" w:hAnsi="Georgia" w:cs="Georgia"/>
          <w:color w:val="000000"/>
          <w:sz w:val="18"/>
          <w:szCs w:val="18"/>
          <w:lang w:eastAsia="el-GR"/>
        </w:rPr>
      </w:pPr>
    </w:p>
    <w:tbl>
      <w:tblPr>
        <w:tblpPr w:leftFromText="181" w:rightFromText="181" w:vertAnchor="page" w:horzAnchor="page" w:tblpXSpec="center" w:tblpY="2269"/>
        <w:tblOverlap w:val="never"/>
        <w:tblW w:w="0" w:type="auto"/>
        <w:tblLook w:val="00A0"/>
      </w:tblPr>
      <w:tblGrid>
        <w:gridCol w:w="5197"/>
        <w:gridCol w:w="5192"/>
      </w:tblGrid>
      <w:tr w:rsidR="002F0A4D" w:rsidRPr="00A14E7D">
        <w:trPr>
          <w:trHeight w:val="1503"/>
        </w:trPr>
        <w:tc>
          <w:tcPr>
            <w:tcW w:w="10389" w:type="dxa"/>
            <w:gridSpan w:val="2"/>
          </w:tcPr>
          <w:tbl>
            <w:tblPr>
              <w:tblW w:w="9498" w:type="dxa"/>
              <w:jc w:val="center"/>
              <w:tblLook w:val="00A0"/>
            </w:tblPr>
            <w:tblGrid>
              <w:gridCol w:w="2410"/>
              <w:gridCol w:w="2126"/>
              <w:gridCol w:w="2268"/>
              <w:gridCol w:w="2694"/>
            </w:tblGrid>
            <w:tr w:rsidR="002F0A4D" w:rsidRPr="00A14E7D">
              <w:trPr>
                <w:trHeight w:val="20"/>
                <w:jc w:val="center"/>
              </w:trPr>
              <w:tc>
                <w:tcPr>
                  <w:tcW w:w="9498" w:type="dxa"/>
                  <w:gridSpan w:val="4"/>
                  <w:noWrap/>
                  <w:vAlign w:val="bottom"/>
                </w:tcPr>
                <w:p w:rsidR="002F0A4D" w:rsidRPr="006C7DB8" w:rsidRDefault="002F0A4D" w:rsidP="00193E93">
                  <w:pPr>
                    <w:framePr w:hSpace="181" w:wrap="around" w:vAnchor="page" w:hAnchor="page" w:xAlign="center" w:y="2269"/>
                    <w:spacing w:after="0" w:line="240" w:lineRule="auto"/>
                    <w:suppressOverlap/>
                    <w:jc w:val="center"/>
                    <w:rPr>
                      <w:b/>
                      <w:bCs/>
                      <w:color w:val="1F497D"/>
                      <w:sz w:val="28"/>
                      <w:szCs w:val="28"/>
                    </w:rPr>
                  </w:pPr>
                  <w:r w:rsidRPr="00A14E7D">
                    <w:br w:type="page"/>
                  </w:r>
                  <w:r w:rsidRPr="00CB3179">
                    <w:rPr>
                      <w:b/>
                      <w:bCs/>
                      <w:color w:val="365F91"/>
                      <w:sz w:val="28"/>
                      <w:szCs w:val="28"/>
                      <w:shd w:val="clear" w:color="auto" w:fill="365F91"/>
                    </w:rPr>
                    <w:t>..</w:t>
                  </w:r>
                  <w:r>
                    <w:rPr>
                      <w:b/>
                      <w:bCs/>
                      <w:color w:val="F2F2F2"/>
                      <w:sz w:val="28"/>
                      <w:szCs w:val="28"/>
                      <w:shd w:val="clear" w:color="auto" w:fill="365F91"/>
                    </w:rPr>
                    <w:t>Οικονομικά μεγέθη μελών ΣΕΒ</w:t>
                  </w:r>
                  <w:r w:rsidRPr="00CB3179">
                    <w:rPr>
                      <w:b/>
                      <w:bCs/>
                      <w:color w:val="365F91"/>
                      <w:sz w:val="28"/>
                      <w:szCs w:val="28"/>
                      <w:shd w:val="clear" w:color="auto" w:fill="365F91"/>
                    </w:rPr>
                    <w:t>..</w:t>
                  </w:r>
                </w:p>
                <w:p w:rsidR="002F0A4D" w:rsidRPr="001A261D" w:rsidRDefault="002F0A4D" w:rsidP="00193E93">
                  <w:pPr>
                    <w:framePr w:hSpace="181" w:wrap="around" w:vAnchor="page" w:hAnchor="page" w:xAlign="center" w:y="2269"/>
                    <w:spacing w:after="0" w:line="240" w:lineRule="auto"/>
                    <w:suppressOverlap/>
                    <w:rPr>
                      <w:b/>
                      <w:bCs/>
                      <w:color w:val="1F497D"/>
                      <w:sz w:val="24"/>
                      <w:szCs w:val="24"/>
                    </w:rPr>
                  </w:pPr>
                  <w:r w:rsidRPr="001A261D">
                    <w:rPr>
                      <w:b/>
                      <w:bCs/>
                      <w:color w:val="1F497D"/>
                      <w:sz w:val="24"/>
                      <w:szCs w:val="24"/>
                      <w:lang w:val="en-US"/>
                    </w:rPr>
                    <w:t> </w:t>
                  </w:r>
                </w:p>
              </w:tc>
            </w:tr>
            <w:tr w:rsidR="002F0A4D" w:rsidRPr="00A14E7D">
              <w:trPr>
                <w:trHeight w:val="20"/>
                <w:jc w:val="center"/>
              </w:trPr>
              <w:tc>
                <w:tcPr>
                  <w:tcW w:w="2410" w:type="dxa"/>
                  <w:tcBorders>
                    <w:right w:val="single" w:sz="48" w:space="0" w:color="FFFFFF"/>
                  </w:tcBorders>
                  <w:shd w:val="clear" w:color="auto" w:fill="365F91"/>
                  <w:noWrap/>
                  <w:vAlign w:val="bottom"/>
                </w:tcPr>
                <w:p w:rsidR="002F0A4D" w:rsidRPr="000E2E34" w:rsidRDefault="002F0A4D"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xml:space="preserve">Ενεργητικό   </w:t>
                  </w:r>
                </w:p>
              </w:tc>
              <w:tc>
                <w:tcPr>
                  <w:tcW w:w="2126" w:type="dxa"/>
                  <w:tcBorders>
                    <w:left w:val="single" w:sz="48" w:space="0" w:color="FFFFFF"/>
                    <w:right w:val="single" w:sz="48" w:space="0" w:color="FFFFFF"/>
                  </w:tcBorders>
                  <w:shd w:val="clear" w:color="auto" w:fill="365F91"/>
                  <w:noWrap/>
                  <w:vAlign w:val="bottom"/>
                </w:tcPr>
                <w:p w:rsidR="002F0A4D" w:rsidRPr="000E2E34" w:rsidRDefault="002F0A4D"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xml:space="preserve">Ίδια κεφάλαια   </w:t>
                  </w:r>
                </w:p>
              </w:tc>
              <w:tc>
                <w:tcPr>
                  <w:tcW w:w="2268" w:type="dxa"/>
                  <w:tcBorders>
                    <w:left w:val="single" w:sz="48" w:space="0" w:color="FFFFFF"/>
                    <w:right w:val="single" w:sz="48" w:space="0" w:color="FFFFFF"/>
                  </w:tcBorders>
                  <w:shd w:val="clear" w:color="auto" w:fill="365F91"/>
                  <w:noWrap/>
                  <w:vAlign w:val="bottom"/>
                </w:tcPr>
                <w:p w:rsidR="002F0A4D" w:rsidRPr="000E2E34" w:rsidRDefault="002F0A4D"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Πωλήσεις</w:t>
                  </w:r>
                </w:p>
              </w:tc>
              <w:tc>
                <w:tcPr>
                  <w:tcW w:w="2694" w:type="dxa"/>
                  <w:tcBorders>
                    <w:left w:val="single" w:sz="48" w:space="0" w:color="FFFFFF"/>
                  </w:tcBorders>
                  <w:shd w:val="clear" w:color="auto" w:fill="365F91"/>
                  <w:noWrap/>
                  <w:vAlign w:val="bottom"/>
                </w:tcPr>
                <w:p w:rsidR="002F0A4D" w:rsidRPr="000E2E34" w:rsidRDefault="002F0A4D"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Προ φόρων κ</w:t>
                  </w:r>
                  <w:r w:rsidRPr="000E2E34">
                    <w:rPr>
                      <w:b/>
                      <w:bCs/>
                      <w:color w:val="FFFFFF"/>
                      <w:sz w:val="24"/>
                      <w:szCs w:val="24"/>
                    </w:rPr>
                    <w:t>έρδη</w:t>
                  </w:r>
                </w:p>
              </w:tc>
            </w:tr>
            <w:tr w:rsidR="002F0A4D" w:rsidRPr="00A14E7D">
              <w:trPr>
                <w:trHeight w:val="20"/>
                <w:jc w:val="center"/>
              </w:trPr>
              <w:tc>
                <w:tcPr>
                  <w:tcW w:w="2410" w:type="dxa"/>
                  <w:tcBorders>
                    <w:bottom w:val="single" w:sz="48" w:space="0" w:color="FFFFFF"/>
                    <w:right w:val="single" w:sz="48" w:space="0" w:color="FFFFFF"/>
                  </w:tcBorders>
                  <w:shd w:val="clear" w:color="auto" w:fill="365F91"/>
                  <w:noWrap/>
                  <w:vAlign w:val="bottom"/>
                </w:tcPr>
                <w:p w:rsidR="002F0A4D" w:rsidRDefault="002F0A4D"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€ 435δις</w:t>
                  </w:r>
                </w:p>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72% συνόλου</w:t>
                  </w:r>
                  <w:r w:rsidRPr="00CA235F">
                    <w:rPr>
                      <w:b/>
                      <w:bCs/>
                      <w:color w:val="FFFFFF"/>
                      <w:sz w:val="20"/>
                      <w:szCs w:val="20"/>
                    </w:rPr>
                    <w:t>*</w:t>
                  </w:r>
                </w:p>
              </w:tc>
              <w:tc>
                <w:tcPr>
                  <w:tcW w:w="2126" w:type="dxa"/>
                  <w:tcBorders>
                    <w:left w:val="single" w:sz="48" w:space="0" w:color="FFFFFF"/>
                    <w:bottom w:val="single" w:sz="48" w:space="0" w:color="FFFFFF"/>
                    <w:right w:val="single" w:sz="48" w:space="0" w:color="FFFFFF"/>
                  </w:tcBorders>
                  <w:shd w:val="clear" w:color="auto" w:fill="365F91"/>
                  <w:noWrap/>
                  <w:vAlign w:val="bottom"/>
                </w:tcPr>
                <w:p w:rsidR="002F0A4D" w:rsidRDefault="002F0A4D"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€ 58 δι</w:t>
                  </w:r>
                  <w:r>
                    <w:rPr>
                      <w:b/>
                      <w:bCs/>
                      <w:color w:val="FFFFFF"/>
                      <w:sz w:val="24"/>
                      <w:szCs w:val="24"/>
                    </w:rPr>
                    <w:t>ς</w:t>
                  </w:r>
                </w:p>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44% συνόλου</w:t>
                  </w:r>
                  <w:r w:rsidRPr="00CA235F">
                    <w:rPr>
                      <w:b/>
                      <w:bCs/>
                      <w:color w:val="FFFFFF"/>
                      <w:sz w:val="20"/>
                      <w:szCs w:val="20"/>
                    </w:rPr>
                    <w:t>*</w:t>
                  </w:r>
                </w:p>
              </w:tc>
              <w:tc>
                <w:tcPr>
                  <w:tcW w:w="2268" w:type="dxa"/>
                  <w:tcBorders>
                    <w:left w:val="single" w:sz="48" w:space="0" w:color="FFFFFF"/>
                    <w:bottom w:val="single" w:sz="48" w:space="0" w:color="FFFFFF"/>
                    <w:right w:val="single" w:sz="48" w:space="0" w:color="FFFFFF"/>
                  </w:tcBorders>
                  <w:shd w:val="clear" w:color="auto" w:fill="365F91"/>
                  <w:noWrap/>
                  <w:vAlign w:val="bottom"/>
                </w:tcPr>
                <w:p w:rsidR="002F0A4D" w:rsidRDefault="002F0A4D"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xml:space="preserve">€ </w:t>
                  </w:r>
                  <w:r w:rsidRPr="001A261D">
                    <w:rPr>
                      <w:b/>
                      <w:bCs/>
                      <w:color w:val="FFFFFF"/>
                      <w:sz w:val="24"/>
                      <w:szCs w:val="24"/>
                    </w:rPr>
                    <w:t xml:space="preserve">77 </w:t>
                  </w:r>
                  <w:r w:rsidRPr="000E2E34">
                    <w:rPr>
                      <w:b/>
                      <w:bCs/>
                      <w:color w:val="FFFFFF"/>
                      <w:sz w:val="24"/>
                      <w:szCs w:val="24"/>
                    </w:rPr>
                    <w:t>δις</w:t>
                  </w:r>
                </w:p>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46% συνόλου</w:t>
                  </w:r>
                  <w:r w:rsidRPr="00CA235F">
                    <w:rPr>
                      <w:b/>
                      <w:bCs/>
                      <w:color w:val="FFFFFF"/>
                      <w:sz w:val="20"/>
                      <w:szCs w:val="20"/>
                    </w:rPr>
                    <w:t>*</w:t>
                  </w:r>
                </w:p>
              </w:tc>
              <w:tc>
                <w:tcPr>
                  <w:tcW w:w="2694" w:type="dxa"/>
                  <w:tcBorders>
                    <w:left w:val="single" w:sz="48" w:space="0" w:color="FFFFFF"/>
                    <w:bottom w:val="single" w:sz="48" w:space="0" w:color="FFFFFF"/>
                  </w:tcBorders>
                  <w:shd w:val="clear" w:color="auto" w:fill="365F91"/>
                  <w:noWrap/>
                  <w:vAlign w:val="bottom"/>
                </w:tcPr>
                <w:p w:rsidR="002F0A4D" w:rsidRDefault="002F0A4D"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xml:space="preserve">€ </w:t>
                  </w:r>
                  <w:r w:rsidRPr="001A261D">
                    <w:rPr>
                      <w:b/>
                      <w:bCs/>
                      <w:color w:val="FFFFFF"/>
                      <w:sz w:val="24"/>
                      <w:szCs w:val="24"/>
                    </w:rPr>
                    <w:t xml:space="preserve">2,4 </w:t>
                  </w:r>
                  <w:r w:rsidRPr="000E2E34">
                    <w:rPr>
                      <w:b/>
                      <w:bCs/>
                      <w:color w:val="FFFFFF"/>
                      <w:sz w:val="24"/>
                      <w:szCs w:val="24"/>
                    </w:rPr>
                    <w:t>δις</w:t>
                  </w:r>
                  <w:r w:rsidRPr="00CA235F">
                    <w:rPr>
                      <w:b/>
                      <w:bCs/>
                      <w:color w:val="FFFFFF"/>
                      <w:sz w:val="20"/>
                      <w:szCs w:val="20"/>
                    </w:rPr>
                    <w:t>**</w:t>
                  </w:r>
                </w:p>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44% κερδών</w:t>
                  </w:r>
                  <w:r w:rsidRPr="00CA235F">
                    <w:rPr>
                      <w:b/>
                      <w:bCs/>
                      <w:color w:val="FFFFFF"/>
                      <w:sz w:val="20"/>
                      <w:szCs w:val="20"/>
                    </w:rPr>
                    <w:t>***</w:t>
                  </w:r>
                </w:p>
              </w:tc>
            </w:tr>
            <w:tr w:rsidR="002F0A4D" w:rsidRPr="00A14E7D">
              <w:trPr>
                <w:trHeight w:val="20"/>
                <w:jc w:val="center"/>
              </w:trPr>
              <w:tc>
                <w:tcPr>
                  <w:tcW w:w="2410" w:type="dxa"/>
                  <w:tcBorders>
                    <w:top w:val="single" w:sz="48" w:space="0" w:color="FFFFFF"/>
                    <w:right w:val="single" w:sz="48" w:space="0" w:color="FFFFFF"/>
                  </w:tcBorders>
                  <w:shd w:val="clear" w:color="auto" w:fill="365F91"/>
                  <w:noWrap/>
                  <w:vAlign w:val="bottom"/>
                </w:tcPr>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Εργαζόμενοι</w:t>
                  </w:r>
                </w:p>
              </w:tc>
              <w:tc>
                <w:tcPr>
                  <w:tcW w:w="2126" w:type="dxa"/>
                  <w:tcBorders>
                    <w:top w:val="single" w:sz="48" w:space="0" w:color="FFFFFF"/>
                    <w:left w:val="single" w:sz="48" w:space="0" w:color="FFFFFF"/>
                    <w:right w:val="single" w:sz="48" w:space="0" w:color="FFFFFF"/>
                  </w:tcBorders>
                  <w:shd w:val="clear" w:color="auto" w:fill="365F91"/>
                  <w:noWrap/>
                  <w:vAlign w:val="bottom"/>
                </w:tcPr>
                <w:p w:rsidR="002F0A4D" w:rsidRPr="006F1877" w:rsidRDefault="002F0A4D"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Μισθοί</w:t>
                  </w:r>
                </w:p>
              </w:tc>
              <w:tc>
                <w:tcPr>
                  <w:tcW w:w="2268" w:type="dxa"/>
                  <w:tcBorders>
                    <w:top w:val="single" w:sz="48" w:space="0" w:color="FFFFFF"/>
                    <w:left w:val="single" w:sz="48" w:space="0" w:color="FFFFFF"/>
                    <w:right w:val="single" w:sz="48" w:space="0" w:color="FFFFFF"/>
                  </w:tcBorders>
                  <w:shd w:val="clear" w:color="auto" w:fill="365F91"/>
                  <w:noWrap/>
                  <w:vAlign w:val="bottom"/>
                </w:tcPr>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Ασφ</w:t>
                  </w:r>
                  <w:r>
                    <w:rPr>
                      <w:b/>
                      <w:bCs/>
                      <w:color w:val="FFFFFF"/>
                      <w:sz w:val="24"/>
                      <w:szCs w:val="24"/>
                    </w:rPr>
                    <w:t>αλ.</w:t>
                  </w:r>
                  <w:r w:rsidRPr="001A261D">
                    <w:rPr>
                      <w:b/>
                      <w:bCs/>
                      <w:color w:val="FFFFFF"/>
                      <w:sz w:val="24"/>
                      <w:szCs w:val="24"/>
                    </w:rPr>
                    <w:t xml:space="preserve"> εισφορές   </w:t>
                  </w:r>
                </w:p>
              </w:tc>
              <w:tc>
                <w:tcPr>
                  <w:tcW w:w="2694" w:type="dxa"/>
                  <w:tcBorders>
                    <w:top w:val="single" w:sz="48" w:space="0" w:color="FFFFFF"/>
                    <w:left w:val="single" w:sz="48" w:space="0" w:color="FFFFFF"/>
                  </w:tcBorders>
                  <w:shd w:val="clear" w:color="auto" w:fill="365F91"/>
                  <w:noWrap/>
                  <w:vAlign w:val="bottom"/>
                </w:tcPr>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Φόρος επί κ</w:t>
                  </w:r>
                  <w:r>
                    <w:rPr>
                      <w:b/>
                      <w:bCs/>
                      <w:color w:val="FFFFFF"/>
                      <w:sz w:val="24"/>
                      <w:szCs w:val="24"/>
                    </w:rPr>
                    <w:t>ε</w:t>
                  </w:r>
                  <w:r w:rsidRPr="001A261D">
                    <w:rPr>
                      <w:b/>
                      <w:bCs/>
                      <w:color w:val="FFFFFF"/>
                      <w:sz w:val="24"/>
                      <w:szCs w:val="24"/>
                    </w:rPr>
                    <w:t>ρδών</w:t>
                  </w:r>
                </w:p>
              </w:tc>
            </w:tr>
            <w:tr w:rsidR="002F0A4D" w:rsidRPr="00A14E7D">
              <w:trPr>
                <w:trHeight w:val="20"/>
                <w:jc w:val="center"/>
              </w:trPr>
              <w:tc>
                <w:tcPr>
                  <w:tcW w:w="2410" w:type="dxa"/>
                  <w:tcBorders>
                    <w:right w:val="single" w:sz="48" w:space="0" w:color="FFFFFF"/>
                  </w:tcBorders>
                  <w:shd w:val="clear" w:color="auto" w:fill="365F91"/>
                  <w:noWrap/>
                  <w:vAlign w:val="bottom"/>
                </w:tcPr>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220.000</w:t>
                  </w:r>
                </w:p>
              </w:tc>
              <w:tc>
                <w:tcPr>
                  <w:tcW w:w="2126" w:type="dxa"/>
                  <w:tcBorders>
                    <w:left w:val="single" w:sz="48" w:space="0" w:color="FFFFFF"/>
                    <w:right w:val="single" w:sz="48" w:space="0" w:color="FFFFFF"/>
                  </w:tcBorders>
                  <w:shd w:val="clear" w:color="auto" w:fill="365F91"/>
                  <w:noWrap/>
                  <w:vAlign w:val="bottom"/>
                </w:tcPr>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€ 4,6 δις</w:t>
                  </w:r>
                </w:p>
              </w:tc>
              <w:tc>
                <w:tcPr>
                  <w:tcW w:w="2268" w:type="dxa"/>
                  <w:tcBorders>
                    <w:left w:val="single" w:sz="48" w:space="0" w:color="FFFFFF"/>
                    <w:right w:val="single" w:sz="48" w:space="0" w:color="FFFFFF"/>
                  </w:tcBorders>
                  <w:shd w:val="clear" w:color="auto" w:fill="365F91"/>
                  <w:noWrap/>
                  <w:vAlign w:val="bottom"/>
                </w:tcPr>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€ 2 δις</w:t>
                  </w:r>
                </w:p>
              </w:tc>
              <w:tc>
                <w:tcPr>
                  <w:tcW w:w="2694" w:type="dxa"/>
                  <w:tcBorders>
                    <w:left w:val="single" w:sz="48" w:space="0" w:color="FFFFFF"/>
                  </w:tcBorders>
                  <w:shd w:val="clear" w:color="auto" w:fill="365F91"/>
                  <w:noWrap/>
                  <w:vAlign w:val="bottom"/>
                </w:tcPr>
                <w:p w:rsidR="002F0A4D" w:rsidRPr="001A261D" w:rsidRDefault="002F0A4D"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€ 1,6 δις</w:t>
                  </w:r>
                </w:p>
              </w:tc>
            </w:tr>
          </w:tbl>
          <w:p w:rsidR="002F0A4D" w:rsidRPr="00A14E7D" w:rsidRDefault="002F0A4D" w:rsidP="00A14E7D">
            <w:pPr>
              <w:spacing w:after="0" w:line="240" w:lineRule="auto"/>
              <w:ind w:left="426" w:right="543"/>
              <w:jc w:val="both"/>
              <w:rPr>
                <w:color w:val="1F497D"/>
                <w:sz w:val="12"/>
                <w:szCs w:val="12"/>
                <w:lang w:eastAsia="el-GR"/>
              </w:rPr>
            </w:pPr>
          </w:p>
          <w:p w:rsidR="002F0A4D" w:rsidRPr="00A14E7D" w:rsidRDefault="002F0A4D" w:rsidP="00A14E7D">
            <w:pPr>
              <w:spacing w:after="0" w:line="240" w:lineRule="auto"/>
              <w:ind w:left="426" w:right="543"/>
              <w:jc w:val="both"/>
              <w:rPr>
                <w:color w:val="1F497D"/>
                <w:sz w:val="14"/>
                <w:szCs w:val="14"/>
                <w:lang w:eastAsia="el-GR"/>
              </w:rPr>
            </w:pPr>
            <w:r w:rsidRPr="00A14E7D">
              <w:rPr>
                <w:color w:val="1F497D"/>
                <w:sz w:val="14"/>
                <w:szCs w:val="14"/>
                <w:lang w:eastAsia="el-GR"/>
              </w:rPr>
              <w:t>* Άθροισμα δημοσιευμένων ισολογισμών ΑΕ και ΕΠΕ</w:t>
            </w:r>
          </w:p>
          <w:p w:rsidR="002F0A4D" w:rsidRPr="00A14E7D" w:rsidRDefault="002F0A4D" w:rsidP="00A14E7D">
            <w:pPr>
              <w:spacing w:after="0" w:line="240" w:lineRule="auto"/>
              <w:ind w:left="426" w:right="543"/>
              <w:rPr>
                <w:color w:val="1F497D"/>
                <w:sz w:val="14"/>
                <w:szCs w:val="14"/>
                <w:lang w:eastAsia="el-GR"/>
              </w:rPr>
            </w:pPr>
            <w:r w:rsidRPr="00A14E7D">
              <w:rPr>
                <w:color w:val="1F497D"/>
                <w:sz w:val="14"/>
                <w:szCs w:val="14"/>
                <w:lang w:eastAsia="el-GR"/>
              </w:rPr>
              <w:t>** Άθροισμα κερδών και ζημιών όλων των επιχειρήσεων</w:t>
            </w:r>
          </w:p>
          <w:p w:rsidR="002F0A4D" w:rsidRPr="00A14E7D" w:rsidRDefault="002F0A4D" w:rsidP="00A14E7D">
            <w:pPr>
              <w:spacing w:after="0" w:line="240" w:lineRule="auto"/>
              <w:ind w:left="426"/>
              <w:rPr>
                <w:color w:val="1F497D"/>
                <w:sz w:val="14"/>
                <w:szCs w:val="14"/>
                <w:lang w:val="en-US" w:eastAsia="el-GR"/>
              </w:rPr>
            </w:pPr>
            <w:r w:rsidRPr="00A14E7D">
              <w:rPr>
                <w:color w:val="1F497D"/>
                <w:sz w:val="14"/>
                <w:szCs w:val="14"/>
                <w:lang w:eastAsia="el-GR"/>
              </w:rPr>
              <w:t>*** Φορολογητέα κέρδη κερδοφόρων επιχειρήσεων</w:t>
            </w:r>
          </w:p>
          <w:p w:rsidR="002F0A4D" w:rsidRPr="00A14E7D" w:rsidRDefault="002F0A4D" w:rsidP="00A14E7D">
            <w:pPr>
              <w:spacing w:after="0" w:line="240" w:lineRule="auto"/>
              <w:ind w:left="709"/>
              <w:rPr>
                <w:noProof/>
                <w:lang w:val="en-US" w:eastAsia="el-GR"/>
              </w:rPr>
            </w:pPr>
          </w:p>
        </w:tc>
      </w:tr>
      <w:tr w:rsidR="002F0A4D" w:rsidRPr="00A14E7D">
        <w:trPr>
          <w:trHeight w:val="1503"/>
        </w:trPr>
        <w:tc>
          <w:tcPr>
            <w:tcW w:w="10389" w:type="dxa"/>
            <w:gridSpan w:val="2"/>
          </w:tcPr>
          <w:p w:rsidR="002F0A4D" w:rsidRPr="00A14E7D" w:rsidRDefault="002F0A4D" w:rsidP="00A14E7D">
            <w:pPr>
              <w:spacing w:after="0" w:line="240" w:lineRule="auto"/>
              <w:ind w:left="284" w:right="249"/>
              <w:jc w:val="both"/>
              <w:rPr>
                <w:rStyle w:val="Strong"/>
                <w:color w:val="4F81BD"/>
                <w:sz w:val="24"/>
                <w:szCs w:val="24"/>
              </w:rPr>
            </w:pPr>
          </w:p>
          <w:p w:rsidR="002F0A4D" w:rsidRPr="00A14E7D" w:rsidRDefault="002F0A4D" w:rsidP="00A14E7D">
            <w:pPr>
              <w:spacing w:after="120" w:line="240" w:lineRule="auto"/>
              <w:ind w:left="284" w:right="249"/>
              <w:jc w:val="both"/>
              <w:rPr>
                <w:rStyle w:val="Strong"/>
                <w:color w:val="4F81BD"/>
                <w:sz w:val="24"/>
                <w:szCs w:val="24"/>
              </w:rPr>
            </w:pPr>
            <w:r w:rsidRPr="00A14E7D">
              <w:rPr>
                <w:rStyle w:val="Strong"/>
                <w:color w:val="4F81BD"/>
                <w:sz w:val="24"/>
                <w:szCs w:val="24"/>
              </w:rPr>
              <w:t>Όραμα</w:t>
            </w:r>
          </w:p>
          <w:p w:rsidR="002F0A4D" w:rsidRPr="00A14E7D" w:rsidRDefault="002F0A4D" w:rsidP="00A14E7D">
            <w:pPr>
              <w:spacing w:after="120" w:line="240" w:lineRule="auto"/>
              <w:ind w:left="284" w:right="249"/>
              <w:jc w:val="both"/>
              <w:rPr>
                <w:sz w:val="18"/>
                <w:szCs w:val="18"/>
              </w:rPr>
            </w:pPr>
            <w:r w:rsidRPr="00A14E7D">
              <w:rPr>
                <w:sz w:val="18"/>
                <w:szCs w:val="18"/>
              </w:rPr>
              <w:t xml:space="preserve">Οραματιζόμαστε την Ελλάδα ως τη χώρα, που κάθε πολίτης του κόσμου θα θέλει και θα μπορεί να επισκεφθεί, να ζήσει και να επενδύσει. </w:t>
            </w:r>
            <w:r w:rsidRPr="00A14E7D">
              <w:rPr>
                <w:sz w:val="18"/>
                <w:szCs w:val="18"/>
              </w:rPr>
              <w:br/>
              <w:t>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w:t>
            </w:r>
          </w:p>
          <w:p w:rsidR="002F0A4D" w:rsidRPr="00A14E7D" w:rsidRDefault="002F0A4D" w:rsidP="00A14E7D">
            <w:pPr>
              <w:spacing w:after="0" w:line="240" w:lineRule="auto"/>
              <w:ind w:left="284" w:right="250"/>
              <w:jc w:val="both"/>
              <w:rPr>
                <w:sz w:val="18"/>
                <w:szCs w:val="18"/>
              </w:rPr>
            </w:pPr>
            <w:r w:rsidRPr="00A14E7D">
              <w:rPr>
                <w:sz w:val="18"/>
                <w:szCs w:val="18"/>
              </w:rPr>
              <w:t>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w:t>
            </w:r>
          </w:p>
          <w:p w:rsidR="002F0A4D" w:rsidRPr="00A14E7D" w:rsidRDefault="002F0A4D" w:rsidP="00A14E7D">
            <w:pPr>
              <w:spacing w:after="120" w:line="240" w:lineRule="auto"/>
              <w:ind w:left="284" w:right="249"/>
              <w:jc w:val="both"/>
              <w:rPr>
                <w:rStyle w:val="Strong"/>
                <w:color w:val="4F81BD"/>
                <w:sz w:val="24"/>
                <w:szCs w:val="24"/>
              </w:rPr>
            </w:pPr>
            <w:r w:rsidRPr="00A14E7D">
              <w:rPr>
                <w:color w:val="595959"/>
                <w:sz w:val="18"/>
                <w:szCs w:val="18"/>
              </w:rPr>
              <w:br/>
            </w:r>
            <w:r w:rsidRPr="00A14E7D">
              <w:rPr>
                <w:rStyle w:val="Strong"/>
                <w:color w:val="4F81BD"/>
                <w:sz w:val="24"/>
                <w:szCs w:val="24"/>
              </w:rPr>
              <w:t>Αποστολή</w:t>
            </w:r>
          </w:p>
          <w:p w:rsidR="002F0A4D" w:rsidRPr="00A14E7D" w:rsidRDefault="002F0A4D" w:rsidP="00A14E7D">
            <w:pPr>
              <w:spacing w:after="0" w:line="240" w:lineRule="auto"/>
              <w:ind w:left="284" w:right="249"/>
              <w:jc w:val="both"/>
              <w:rPr>
                <w:rStyle w:val="Strong"/>
                <w:sz w:val="18"/>
                <w:szCs w:val="18"/>
              </w:rPr>
            </w:pPr>
            <w:r w:rsidRPr="00A14E7D">
              <w:rPr>
                <w:rStyle w:val="Strong"/>
                <w:sz w:val="18"/>
                <w:szCs w:val="18"/>
              </w:rPr>
              <w:t>Ηγεσία &amp; Γνώση</w:t>
            </w:r>
          </w:p>
          <w:p w:rsidR="002F0A4D" w:rsidRPr="00A14E7D" w:rsidRDefault="002F0A4D" w:rsidP="00A14E7D">
            <w:pPr>
              <w:spacing w:after="0" w:line="240" w:lineRule="auto"/>
              <w:ind w:left="284" w:right="249"/>
              <w:jc w:val="both"/>
              <w:rPr>
                <w:sz w:val="18"/>
                <w:szCs w:val="18"/>
              </w:rPr>
            </w:pPr>
            <w:r w:rsidRPr="00A14E7D">
              <w:rPr>
                <w:sz w:val="18"/>
                <w:szCs w:val="18"/>
              </w:rPr>
              <w:t>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w:t>
            </w:r>
          </w:p>
          <w:p w:rsidR="002F0A4D" w:rsidRPr="00A14E7D" w:rsidRDefault="002F0A4D" w:rsidP="00A14E7D">
            <w:pPr>
              <w:spacing w:before="120" w:after="0" w:line="240" w:lineRule="auto"/>
              <w:ind w:left="284" w:right="249"/>
              <w:jc w:val="both"/>
              <w:rPr>
                <w:rStyle w:val="Strong"/>
                <w:sz w:val="18"/>
                <w:szCs w:val="18"/>
              </w:rPr>
            </w:pPr>
            <w:r w:rsidRPr="00A14E7D">
              <w:rPr>
                <w:rStyle w:val="Strong"/>
                <w:sz w:val="18"/>
                <w:szCs w:val="18"/>
              </w:rPr>
              <w:t>Κοινωνικός Εταίρος</w:t>
            </w:r>
          </w:p>
          <w:p w:rsidR="002F0A4D" w:rsidRPr="00A14E7D" w:rsidRDefault="002F0A4D" w:rsidP="00A14E7D">
            <w:pPr>
              <w:spacing w:after="0" w:line="240" w:lineRule="auto"/>
              <w:ind w:left="284" w:right="249"/>
              <w:jc w:val="both"/>
              <w:rPr>
                <w:sz w:val="18"/>
                <w:szCs w:val="18"/>
              </w:rPr>
            </w:pPr>
            <w:r w:rsidRPr="00A14E7D">
              <w:rPr>
                <w:sz w:val="18"/>
                <w:szCs w:val="18"/>
              </w:rPr>
              <w:t>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w:t>
            </w:r>
          </w:p>
          <w:p w:rsidR="002F0A4D" w:rsidRPr="00A14E7D" w:rsidRDefault="002F0A4D" w:rsidP="00A14E7D">
            <w:pPr>
              <w:spacing w:before="120" w:after="0" w:line="240" w:lineRule="auto"/>
              <w:ind w:left="284" w:right="249"/>
              <w:jc w:val="both"/>
              <w:rPr>
                <w:rStyle w:val="Strong"/>
                <w:sz w:val="18"/>
                <w:szCs w:val="18"/>
              </w:rPr>
            </w:pPr>
            <w:r w:rsidRPr="00A14E7D">
              <w:rPr>
                <w:rStyle w:val="Strong"/>
                <w:sz w:val="18"/>
                <w:szCs w:val="18"/>
              </w:rPr>
              <w:t>Ισχυρός Εκπρόσωπος</w:t>
            </w:r>
          </w:p>
          <w:p w:rsidR="002F0A4D" w:rsidRPr="00A14E7D" w:rsidRDefault="002F0A4D" w:rsidP="00A14E7D">
            <w:pPr>
              <w:spacing w:after="0" w:line="240" w:lineRule="auto"/>
              <w:ind w:left="284" w:right="249"/>
              <w:jc w:val="both"/>
              <w:rPr>
                <w:sz w:val="18"/>
                <w:szCs w:val="18"/>
              </w:rPr>
            </w:pPr>
            <w:r w:rsidRPr="00A14E7D">
              <w:rPr>
                <w:sz w:val="18"/>
                <w:szCs w:val="18"/>
              </w:rPr>
              <w:t>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w:t>
            </w:r>
          </w:p>
          <w:p w:rsidR="002F0A4D" w:rsidRPr="00A14E7D" w:rsidRDefault="002F0A4D" w:rsidP="00A14E7D">
            <w:pPr>
              <w:spacing w:before="120" w:after="0" w:line="240" w:lineRule="auto"/>
              <w:ind w:left="284" w:right="249"/>
              <w:jc w:val="both"/>
              <w:rPr>
                <w:rStyle w:val="Strong"/>
                <w:sz w:val="18"/>
                <w:szCs w:val="18"/>
              </w:rPr>
            </w:pPr>
            <w:r w:rsidRPr="00A14E7D">
              <w:rPr>
                <w:rStyle w:val="Strong"/>
                <w:sz w:val="18"/>
                <w:szCs w:val="18"/>
              </w:rPr>
              <w:t>Φορέας Δικτύωσης</w:t>
            </w:r>
          </w:p>
          <w:p w:rsidR="002F0A4D" w:rsidRPr="00A14E7D" w:rsidRDefault="002F0A4D" w:rsidP="00A14E7D">
            <w:pPr>
              <w:spacing w:after="0" w:line="240" w:lineRule="auto"/>
              <w:ind w:left="284" w:right="249"/>
              <w:jc w:val="both"/>
              <w:rPr>
                <w:noProof/>
                <w:lang w:eastAsia="el-GR"/>
              </w:rPr>
            </w:pPr>
            <w:r w:rsidRPr="00A14E7D">
              <w:rPr>
                <w:sz w:val="18"/>
                <w:szCs w:val="18"/>
              </w:rPr>
              <w:t>Ο ΣΕΒ δικτυώνει τα μέλη του μεταξύ τους &amp; με τα κέντρα αποφάσεων (εγχώρια και διεθνή), με στόχο τη δημιουργία προστιθέμενης αξίας.</w:t>
            </w:r>
          </w:p>
        </w:tc>
      </w:tr>
      <w:tr w:rsidR="002F0A4D" w:rsidRPr="00A14E7D">
        <w:trPr>
          <w:trHeight w:val="1503"/>
        </w:trPr>
        <w:tc>
          <w:tcPr>
            <w:tcW w:w="10389" w:type="dxa"/>
            <w:gridSpan w:val="2"/>
          </w:tcPr>
          <w:p w:rsidR="002F0A4D" w:rsidRPr="00A14E7D" w:rsidRDefault="002F0A4D" w:rsidP="00A14E7D">
            <w:pPr>
              <w:spacing w:after="0" w:line="240" w:lineRule="auto"/>
            </w:pPr>
            <w:r>
              <w:rPr>
                <w:noProof/>
                <w:lang w:eastAsia="el-GR"/>
              </w:rPr>
              <w:pict>
                <v:line id="Straight Connector 29" o:spid="_x0000_s1038" style="position:absolute;z-index:251657728;visibility:visible;mso-position-horizontal:center;mso-position-horizontal-relative:margin;mso-position-vertical-relative:text" from="0,71.95pt" to="272.15pt,71.95pt">
                  <w10:wrap anchorx="margin"/>
                </v:line>
              </w:pict>
            </w:r>
            <w:r>
              <w:rPr>
                <w:noProof/>
                <w:lang w:eastAsia="el-GR"/>
              </w:rPr>
              <w:pict>
                <v:shape id="Picture 27" o:spid="_x0000_s1039" type="#_x0000_t75" alt="gr_epist_top" style="position:absolute;margin-left:0;margin-top:4.7pt;width:150.25pt;height:67.45pt;z-index:-251659776;visibility:visible;mso-position-horizontal:center;mso-position-horizontal-relative:margin;mso-position-vertical-relative:page" wrapcoords="4104 1440 1728 1680 1188 5520 972 6720 1080 9840 1512 12000 1944 12960 648 16560 648 17760 972 18240 1836 18240 14796 18240 21060 18000 21060 16080 5832 12960 16956 12960 19656 12240 19548 5040 4752 1440 4104 1440" o:allowoverlap="f">
                  <v:imagedata r:id="rId50" o:title="" croptop="9881f" cropbottom="13175f" cropleft="3903f" cropright="39808f" chromakey="white"/>
                  <w10:wrap type="through" anchorx="margin" anchory="page"/>
                </v:shape>
              </w:pict>
            </w:r>
          </w:p>
        </w:tc>
      </w:tr>
      <w:tr w:rsidR="002F0A4D" w:rsidRPr="00A14E7D">
        <w:tc>
          <w:tcPr>
            <w:tcW w:w="10389" w:type="dxa"/>
            <w:gridSpan w:val="2"/>
          </w:tcPr>
          <w:p w:rsidR="002F0A4D" w:rsidRPr="00A14E7D" w:rsidRDefault="002F0A4D" w:rsidP="00A14E7D">
            <w:pPr>
              <w:spacing w:after="0" w:line="240" w:lineRule="auto"/>
              <w:jc w:val="center"/>
              <w:rPr>
                <w:b/>
                <w:bCs/>
                <w:color w:val="595959"/>
                <w:sz w:val="24"/>
                <w:szCs w:val="24"/>
              </w:rPr>
            </w:pPr>
            <w:r w:rsidRPr="00A14E7D">
              <w:rPr>
                <w:b/>
                <w:bCs/>
                <w:color w:val="595959"/>
                <w:sz w:val="24"/>
                <w:szCs w:val="24"/>
              </w:rPr>
              <w:t>ΣΕΒ σύνδεσμος επιχειρήσεων και βιομηχανιών</w:t>
            </w:r>
          </w:p>
          <w:p w:rsidR="002F0A4D" w:rsidRPr="00A14E7D" w:rsidRDefault="002F0A4D" w:rsidP="00A14E7D">
            <w:pPr>
              <w:spacing w:after="0" w:line="240" w:lineRule="auto"/>
              <w:jc w:val="center"/>
              <w:rPr>
                <w:b/>
                <w:bCs/>
                <w:color w:val="595959"/>
                <w:sz w:val="18"/>
                <w:szCs w:val="18"/>
              </w:rPr>
            </w:pPr>
          </w:p>
        </w:tc>
      </w:tr>
      <w:tr w:rsidR="002F0A4D" w:rsidRPr="002B1D29">
        <w:trPr>
          <w:trHeight w:val="1329"/>
        </w:trPr>
        <w:tc>
          <w:tcPr>
            <w:tcW w:w="5197" w:type="dxa"/>
          </w:tcPr>
          <w:p w:rsidR="002F0A4D" w:rsidRPr="00A14E7D" w:rsidRDefault="002F0A4D" w:rsidP="00A14E7D">
            <w:pPr>
              <w:spacing w:after="0" w:line="240" w:lineRule="auto"/>
              <w:ind w:left="-142" w:firstLine="1560"/>
              <w:rPr>
                <w:b/>
                <w:bCs/>
                <w:color w:val="595959"/>
                <w:sz w:val="18"/>
                <w:szCs w:val="18"/>
              </w:rPr>
            </w:pPr>
            <w:r w:rsidRPr="00A14E7D">
              <w:rPr>
                <w:b/>
                <w:bCs/>
                <w:color w:val="595959"/>
                <w:sz w:val="18"/>
                <w:szCs w:val="18"/>
              </w:rPr>
              <w:t>ΣΕΒ σύνδεσμος επιχειρήσεων και βιομηχανιών</w:t>
            </w:r>
          </w:p>
          <w:p w:rsidR="002F0A4D" w:rsidRPr="00A14E7D" w:rsidRDefault="002F0A4D" w:rsidP="00A14E7D">
            <w:pPr>
              <w:spacing w:after="0" w:line="240" w:lineRule="auto"/>
              <w:ind w:left="-142" w:firstLine="1560"/>
              <w:rPr>
                <w:color w:val="595959"/>
                <w:sz w:val="18"/>
                <w:szCs w:val="18"/>
              </w:rPr>
            </w:pPr>
            <w:r w:rsidRPr="00A14E7D">
              <w:rPr>
                <w:color w:val="595959"/>
                <w:sz w:val="18"/>
                <w:szCs w:val="18"/>
              </w:rPr>
              <w:t>Ξενοφώντος 5, 105 57 Αθήνα</w:t>
            </w:r>
          </w:p>
          <w:p w:rsidR="002F0A4D" w:rsidRPr="00A14E7D" w:rsidRDefault="002F0A4D" w:rsidP="00A14E7D">
            <w:pPr>
              <w:spacing w:after="0" w:line="240" w:lineRule="auto"/>
              <w:ind w:left="-142" w:firstLine="1560"/>
              <w:rPr>
                <w:color w:val="595959"/>
                <w:sz w:val="18"/>
                <w:szCs w:val="18"/>
              </w:rPr>
            </w:pPr>
            <w:r w:rsidRPr="00A14E7D">
              <w:rPr>
                <w:color w:val="595959"/>
                <w:sz w:val="18"/>
                <w:szCs w:val="18"/>
              </w:rPr>
              <w:t>Τ: 211 5006 000</w:t>
            </w:r>
          </w:p>
          <w:p w:rsidR="002F0A4D" w:rsidRPr="00A14E7D" w:rsidRDefault="002F0A4D" w:rsidP="00A14E7D">
            <w:pPr>
              <w:spacing w:after="0" w:line="240" w:lineRule="auto"/>
              <w:ind w:left="-142" w:firstLine="1560"/>
              <w:rPr>
                <w:color w:val="595959"/>
                <w:sz w:val="18"/>
                <w:szCs w:val="18"/>
              </w:rPr>
            </w:pPr>
            <w:r w:rsidRPr="00A14E7D">
              <w:rPr>
                <w:color w:val="595959"/>
                <w:sz w:val="18"/>
                <w:szCs w:val="18"/>
                <w:lang w:val="en-US"/>
              </w:rPr>
              <w:t>F</w:t>
            </w:r>
            <w:r w:rsidRPr="00A14E7D">
              <w:rPr>
                <w:color w:val="595959"/>
                <w:sz w:val="18"/>
                <w:szCs w:val="18"/>
              </w:rPr>
              <w:t>: 210 3222 929</w:t>
            </w:r>
          </w:p>
          <w:p w:rsidR="002F0A4D" w:rsidRPr="00A14E7D" w:rsidRDefault="002F0A4D" w:rsidP="00A14E7D">
            <w:pPr>
              <w:spacing w:after="0" w:line="240" w:lineRule="auto"/>
              <w:ind w:left="-142" w:firstLine="1560"/>
              <w:rPr>
                <w:color w:val="595959"/>
                <w:sz w:val="18"/>
                <w:szCs w:val="18"/>
              </w:rPr>
            </w:pPr>
            <w:r w:rsidRPr="00A14E7D">
              <w:rPr>
                <w:color w:val="595959"/>
                <w:sz w:val="18"/>
                <w:szCs w:val="18"/>
              </w:rPr>
              <w:t xml:space="preserve">Ε: </w:t>
            </w:r>
            <w:hyperlink r:id="rId51" w:history="1">
              <w:r w:rsidRPr="00A14E7D">
                <w:rPr>
                  <w:rStyle w:val="Hyperlink"/>
                  <w:color w:val="595959"/>
                  <w:sz w:val="18"/>
                  <w:szCs w:val="18"/>
                  <w:u w:val="none"/>
                  <w:lang w:val="en-US"/>
                </w:rPr>
                <w:t>info</w:t>
              </w:r>
              <w:r w:rsidRPr="00A14E7D">
                <w:rPr>
                  <w:rStyle w:val="Hyperlink"/>
                  <w:color w:val="595959"/>
                  <w:sz w:val="18"/>
                  <w:szCs w:val="18"/>
                  <w:u w:val="none"/>
                </w:rPr>
                <w:t>@</w:t>
              </w:r>
              <w:r w:rsidRPr="00A14E7D">
                <w:rPr>
                  <w:rStyle w:val="Hyperlink"/>
                  <w:color w:val="595959"/>
                  <w:sz w:val="18"/>
                  <w:szCs w:val="18"/>
                  <w:u w:val="none"/>
                  <w:lang w:val="en-US"/>
                </w:rPr>
                <w:t>sev</w:t>
              </w:r>
              <w:r w:rsidRPr="00A14E7D">
                <w:rPr>
                  <w:rStyle w:val="Hyperlink"/>
                  <w:color w:val="595959"/>
                  <w:sz w:val="18"/>
                  <w:szCs w:val="18"/>
                  <w:u w:val="none"/>
                </w:rPr>
                <w:t>.</w:t>
              </w:r>
              <w:r w:rsidRPr="00A14E7D">
                <w:rPr>
                  <w:rStyle w:val="Hyperlink"/>
                  <w:color w:val="595959"/>
                  <w:sz w:val="18"/>
                  <w:szCs w:val="18"/>
                  <w:u w:val="none"/>
                  <w:lang w:val="en-US"/>
                </w:rPr>
                <w:t>org</w:t>
              </w:r>
              <w:r w:rsidRPr="00A14E7D">
                <w:rPr>
                  <w:rStyle w:val="Hyperlink"/>
                  <w:color w:val="595959"/>
                  <w:sz w:val="18"/>
                  <w:szCs w:val="18"/>
                  <w:u w:val="none"/>
                </w:rPr>
                <w:t>.</w:t>
              </w:r>
              <w:r w:rsidRPr="00A14E7D">
                <w:rPr>
                  <w:rStyle w:val="Hyperlink"/>
                  <w:color w:val="595959"/>
                  <w:sz w:val="18"/>
                  <w:szCs w:val="18"/>
                  <w:u w:val="none"/>
                  <w:lang w:val="en-US"/>
                </w:rPr>
                <w:t>gr</w:t>
              </w:r>
            </w:hyperlink>
          </w:p>
          <w:p w:rsidR="002F0A4D" w:rsidRPr="00A14E7D" w:rsidRDefault="002F0A4D" w:rsidP="00A14E7D">
            <w:pPr>
              <w:spacing w:after="0" w:line="240" w:lineRule="auto"/>
              <w:ind w:left="-142" w:firstLine="1560"/>
              <w:rPr>
                <w:color w:val="595959"/>
                <w:sz w:val="18"/>
                <w:szCs w:val="18"/>
              </w:rPr>
            </w:pPr>
            <w:r w:rsidRPr="00A14E7D">
              <w:rPr>
                <w:color w:val="595959"/>
                <w:sz w:val="18"/>
                <w:szCs w:val="18"/>
                <w:lang w:val="en-US"/>
              </w:rPr>
              <w:t>www</w:t>
            </w:r>
            <w:r w:rsidRPr="00A14E7D">
              <w:rPr>
                <w:color w:val="595959"/>
                <w:sz w:val="18"/>
                <w:szCs w:val="18"/>
              </w:rPr>
              <w:t>.</w:t>
            </w:r>
            <w:r w:rsidRPr="00A14E7D">
              <w:rPr>
                <w:color w:val="595959"/>
                <w:sz w:val="18"/>
                <w:szCs w:val="18"/>
                <w:lang w:val="en-US"/>
              </w:rPr>
              <w:t>sev</w:t>
            </w:r>
            <w:r w:rsidRPr="00A14E7D">
              <w:rPr>
                <w:color w:val="595959"/>
                <w:sz w:val="18"/>
                <w:szCs w:val="18"/>
              </w:rPr>
              <w:t>.</w:t>
            </w:r>
            <w:r w:rsidRPr="00A14E7D">
              <w:rPr>
                <w:color w:val="595959"/>
                <w:sz w:val="18"/>
                <w:szCs w:val="18"/>
                <w:lang w:val="en-US"/>
              </w:rPr>
              <w:t>org</w:t>
            </w:r>
            <w:r w:rsidRPr="00A14E7D">
              <w:rPr>
                <w:color w:val="595959"/>
                <w:sz w:val="18"/>
                <w:szCs w:val="18"/>
              </w:rPr>
              <w:t>.</w:t>
            </w:r>
            <w:r w:rsidRPr="00A14E7D">
              <w:rPr>
                <w:color w:val="595959"/>
                <w:sz w:val="18"/>
                <w:szCs w:val="18"/>
                <w:lang w:val="en-US"/>
              </w:rPr>
              <w:t>gr</w:t>
            </w:r>
          </w:p>
        </w:tc>
        <w:tc>
          <w:tcPr>
            <w:tcW w:w="5192" w:type="dxa"/>
          </w:tcPr>
          <w:p w:rsidR="002F0A4D" w:rsidRPr="00A14E7D" w:rsidRDefault="002F0A4D" w:rsidP="00A14E7D">
            <w:pPr>
              <w:spacing w:after="0" w:line="240" w:lineRule="auto"/>
              <w:ind w:firstLine="899"/>
              <w:rPr>
                <w:b/>
                <w:bCs/>
                <w:color w:val="595959"/>
                <w:sz w:val="18"/>
                <w:szCs w:val="18"/>
                <w:lang w:val="en-US"/>
              </w:rPr>
            </w:pPr>
            <w:r w:rsidRPr="00A14E7D">
              <w:rPr>
                <w:b/>
                <w:bCs/>
                <w:color w:val="595959"/>
                <w:sz w:val="18"/>
                <w:szCs w:val="18"/>
                <w:lang w:val="en-US"/>
              </w:rPr>
              <w:t>SEV Hellenic Federation of Enterprises</w:t>
            </w:r>
          </w:p>
          <w:p w:rsidR="002F0A4D" w:rsidRPr="00A14E7D" w:rsidRDefault="002F0A4D" w:rsidP="00A14E7D">
            <w:pPr>
              <w:spacing w:after="0" w:line="240" w:lineRule="auto"/>
              <w:ind w:firstLine="899"/>
              <w:rPr>
                <w:color w:val="595959"/>
                <w:sz w:val="18"/>
                <w:szCs w:val="18"/>
                <w:lang w:val="en-US"/>
              </w:rPr>
            </w:pPr>
            <w:r w:rsidRPr="00A14E7D">
              <w:rPr>
                <w:color w:val="595959"/>
                <w:sz w:val="18"/>
                <w:szCs w:val="18"/>
                <w:lang w:val="en-US"/>
              </w:rPr>
              <w:t>168, Avenue de Cortenbergh</w:t>
            </w:r>
          </w:p>
          <w:p w:rsidR="002F0A4D" w:rsidRPr="00A14E7D" w:rsidRDefault="002F0A4D" w:rsidP="00A14E7D">
            <w:pPr>
              <w:spacing w:after="0" w:line="240" w:lineRule="auto"/>
              <w:ind w:firstLine="899"/>
              <w:rPr>
                <w:color w:val="595959"/>
                <w:sz w:val="18"/>
                <w:szCs w:val="18"/>
                <w:lang w:val="de-AT"/>
              </w:rPr>
            </w:pPr>
            <w:r w:rsidRPr="00A14E7D">
              <w:rPr>
                <w:color w:val="595959"/>
                <w:sz w:val="18"/>
                <w:szCs w:val="18"/>
                <w:lang w:val="de-AT"/>
              </w:rPr>
              <w:t>B-1000 Bruxelles</w:t>
            </w:r>
          </w:p>
          <w:p w:rsidR="002F0A4D" w:rsidRPr="00A14E7D" w:rsidRDefault="002F0A4D" w:rsidP="00A14E7D">
            <w:pPr>
              <w:spacing w:after="0" w:line="240" w:lineRule="auto"/>
              <w:ind w:firstLine="899"/>
              <w:rPr>
                <w:color w:val="595959"/>
                <w:sz w:val="18"/>
                <w:szCs w:val="18"/>
                <w:lang w:val="de-AT"/>
              </w:rPr>
            </w:pPr>
            <w:r w:rsidRPr="00A14E7D">
              <w:rPr>
                <w:color w:val="595959"/>
                <w:sz w:val="18"/>
                <w:szCs w:val="18"/>
                <w:lang w:val="de-AT"/>
              </w:rPr>
              <w:t>T: +32 (02) 231 00 53</w:t>
            </w:r>
          </w:p>
          <w:p w:rsidR="002F0A4D" w:rsidRPr="00A14E7D" w:rsidRDefault="002F0A4D" w:rsidP="00A14E7D">
            <w:pPr>
              <w:spacing w:after="0" w:line="240" w:lineRule="auto"/>
              <w:ind w:firstLine="899"/>
              <w:rPr>
                <w:color w:val="595959"/>
                <w:sz w:val="18"/>
                <w:szCs w:val="18"/>
                <w:lang w:val="de-AT"/>
              </w:rPr>
            </w:pPr>
            <w:r w:rsidRPr="00A14E7D">
              <w:rPr>
                <w:color w:val="595959"/>
                <w:sz w:val="18"/>
                <w:szCs w:val="18"/>
                <w:lang w:val="de-AT"/>
              </w:rPr>
              <w:t>F: +32 (02) 7323570</w:t>
            </w:r>
          </w:p>
          <w:p w:rsidR="002F0A4D" w:rsidRPr="00A14E7D" w:rsidRDefault="002F0A4D" w:rsidP="00A14E7D">
            <w:pPr>
              <w:spacing w:after="0" w:line="240" w:lineRule="auto"/>
              <w:ind w:firstLine="899"/>
              <w:rPr>
                <w:color w:val="595959"/>
                <w:sz w:val="18"/>
                <w:szCs w:val="18"/>
                <w:lang w:val="de-AT"/>
              </w:rPr>
            </w:pPr>
            <w:r w:rsidRPr="00A14E7D">
              <w:rPr>
                <w:color w:val="595959"/>
                <w:sz w:val="18"/>
                <w:szCs w:val="18"/>
                <w:lang w:val="de-AT"/>
              </w:rPr>
              <w:t>E: main@sevbxl.be</w:t>
            </w:r>
          </w:p>
        </w:tc>
      </w:tr>
      <w:tr w:rsidR="002F0A4D" w:rsidRPr="002B1D29">
        <w:trPr>
          <w:trHeight w:val="558"/>
        </w:trPr>
        <w:tc>
          <w:tcPr>
            <w:tcW w:w="10389" w:type="dxa"/>
            <w:gridSpan w:val="2"/>
          </w:tcPr>
          <w:p w:rsidR="002F0A4D" w:rsidRPr="00A14E7D" w:rsidRDefault="002F0A4D" w:rsidP="00A14E7D">
            <w:pPr>
              <w:spacing w:after="0" w:line="240" w:lineRule="auto"/>
              <w:jc w:val="center"/>
              <w:rPr>
                <w:color w:val="595959"/>
                <w:sz w:val="18"/>
                <w:szCs w:val="18"/>
                <w:lang w:val="de-AT"/>
              </w:rPr>
            </w:pPr>
          </w:p>
        </w:tc>
      </w:tr>
    </w:tbl>
    <w:p w:rsidR="002F0A4D" w:rsidRPr="00A6535B" w:rsidRDefault="002F0A4D" w:rsidP="004A3F50">
      <w:pPr>
        <w:spacing w:after="0" w:line="240" w:lineRule="auto"/>
        <w:rPr>
          <w:lang w:val="de-AT"/>
        </w:rPr>
        <w:sectPr w:rsidR="002F0A4D" w:rsidRPr="00A6535B" w:rsidSect="00424E8D">
          <w:headerReference w:type="default" r:id="rId52"/>
          <w:footerReference w:type="default" r:id="rId53"/>
          <w:headerReference w:type="first" r:id="rId54"/>
          <w:footerReference w:type="first" r:id="rId55"/>
          <w:pgSz w:w="11906" w:h="16838"/>
          <w:pgMar w:top="1843" w:right="720" w:bottom="709" w:left="720" w:header="708" w:footer="463" w:gutter="0"/>
          <w:cols w:space="708"/>
          <w:titlePg/>
          <w:docGrid w:linePitch="360"/>
        </w:sectPr>
      </w:pPr>
    </w:p>
    <w:p w:rsidR="002F0A4D" w:rsidRPr="00AB7461" w:rsidRDefault="002F0A4D" w:rsidP="004A3F50">
      <w:pPr>
        <w:spacing w:after="0" w:line="240" w:lineRule="auto"/>
        <w:rPr>
          <w:lang w:val="de-AT"/>
        </w:rPr>
      </w:pPr>
      <w:r w:rsidRPr="00F41662">
        <w:rPr>
          <w:noProof/>
          <w:lang w:eastAsia="el-GR"/>
        </w:rPr>
        <w:pict>
          <v:shape id="Εικόνα 24" o:spid="_x0000_i1045" type="#_x0000_t75" style="width:517.5pt;height:690.75pt;visibility:visible">
            <v:imagedata r:id="rId56" o:title=""/>
          </v:shape>
        </w:pict>
      </w:r>
    </w:p>
    <w:sectPr w:rsidR="002F0A4D" w:rsidRPr="00AB7461" w:rsidSect="00424E8D">
      <w:headerReference w:type="first" r:id="rId57"/>
      <w:footerReference w:type="first" r:id="rId58"/>
      <w:pgSz w:w="11906" w:h="16838"/>
      <w:pgMar w:top="1843" w:right="720" w:bottom="709" w:left="720" w:header="708" w:footer="46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A4D" w:rsidRDefault="002F0A4D" w:rsidP="00846D99">
      <w:pPr>
        <w:spacing w:after="0" w:line="240" w:lineRule="auto"/>
      </w:pPr>
      <w:r>
        <w:separator/>
      </w:r>
    </w:p>
  </w:endnote>
  <w:endnote w:type="continuationSeparator" w:id="1">
    <w:p w:rsidR="002F0A4D" w:rsidRDefault="002F0A4D" w:rsidP="00846D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A4D" w:rsidRDefault="002F0A4D">
    <w:pPr>
      <w:pStyle w:val="Footer"/>
      <w:jc w:val="right"/>
    </w:pPr>
    <w:r>
      <w:rPr>
        <w:noProof/>
        <w:lang w:eastAsia="el-GR"/>
      </w:rPr>
      <w:pict>
        <v:line id="Straight Connector 10" o:spid="_x0000_s2051" style="position:absolute;left:0;text-align:left;flip:y;z-index:251663360;visibility:visible" from="-11.25pt,7.1pt" to="508.5pt,7.1pt" strokecolor="#365f91"/>
      </w:pict>
    </w: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2052" type="#_x0000_t75" style="position:absolute;left:0;text-align:left;margin-left:204.1pt;margin-top:-195.3pt;width:354.5pt;height:255.4pt;z-index:-251652096;visibility:visible">
          <v:imagedata r:id="rId1" o:title="" croptop="33086f" cropleft="9584f"/>
        </v:shape>
      </w:pict>
    </w:r>
    <w:fldSimple w:instr=" PAGE   \* MERGEFORMAT ">
      <w:r>
        <w:rPr>
          <w:noProof/>
        </w:rPr>
        <w:t>7</w:t>
      </w:r>
    </w:fldSimple>
  </w:p>
  <w:p w:rsidR="002F0A4D" w:rsidRDefault="002F0A4D" w:rsidP="00B226E2">
    <w:pPr>
      <w:pStyle w:val="Footer"/>
      <w:tabs>
        <w:tab w:val="clear" w:pos="4153"/>
        <w:tab w:val="left" w:pos="4216"/>
        <w:tab w:val="left" w:pos="5168"/>
        <w:tab w:val="left" w:pos="5576"/>
        <w:tab w:val="left" w:pos="6824"/>
        <w:tab w:val="left" w:pos="7136"/>
        <w:tab w:val="left" w:pos="7680"/>
        <w:tab w:val="left" w:pos="8306"/>
      </w:tabs>
    </w:pPr>
    <w:r>
      <w:rPr>
        <w:noProof/>
        <w:lang w:eastAsia="el-GR"/>
      </w:rPr>
      <w:pict>
        <v:shape id="Εικόνα 19" o:spid="_x0000_s2053" type="#_x0000_t75" style="position:absolute;margin-left:322.5pt;margin-top:3.1pt;width:200.2pt;height:18pt;z-index:251665408;visibility:visible">
          <v:imagedata r:id="rId2" o:title=""/>
          <w10:wrap type="square"/>
        </v:shape>
      </w:pict>
    </w:r>
    <w:r>
      <w:tab/>
    </w:r>
    <w:r>
      <w:tab/>
    </w:r>
    <w:r>
      <w:tab/>
    </w:r>
    <w:r>
      <w:tab/>
    </w:r>
    <w:r>
      <w:tab/>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A4D" w:rsidRPr="00AD6868" w:rsidRDefault="002F0A4D" w:rsidP="009A2EC7">
    <w:pPr>
      <w:pStyle w:val="Footer"/>
      <w:rPr>
        <w:sz w:val="18"/>
        <w:szCs w:val="18"/>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2058" type="#_x0000_t75" style="position:absolute;margin-left:202.9pt;margin-top:-222.85pt;width:354.5pt;height:255.4pt;z-index:-251643904;visibility:visible">
          <v:imagedata r:id="rId1" o:title="" croptop="33086f" cropleft="9584f"/>
        </v:shape>
      </w:pict>
    </w:r>
    <w:r>
      <w:rPr>
        <w:noProof/>
        <w:lang w:eastAsia="el-GR"/>
      </w:rPr>
      <w:pict>
        <v:shapetype id="_x0000_t202" coordsize="21600,21600" o:spt="202" path="m,l,21600r21600,l21600,xe">
          <v:stroke joinstyle="miter"/>
          <v:path gradientshapeok="t" o:connecttype="rect"/>
        </v:shapetype>
        <v:shape id="Text Box 8" o:spid="_x0000_s2059" type="#_x0000_t202" style="position:absolute;margin-left:8.25pt;margin-top:524.5pt;width:155.2pt;height:329.8pt;z-index:251673600;visibility:visible;mso-position-vertical-relative:page" fillcolor="#365f91" stroked="f">
          <v:textbox>
            <w:txbxContent>
              <w:p w:rsidR="002F0A4D" w:rsidRPr="00A14E7D" w:rsidRDefault="002F0A4D" w:rsidP="008C3DCE">
                <w:pPr>
                  <w:spacing w:after="0" w:line="240" w:lineRule="auto"/>
                  <w:rPr>
                    <w:b/>
                    <w:bCs/>
                    <w:color w:val="FFFFFF"/>
                  </w:rPr>
                </w:pPr>
                <w:r w:rsidRPr="00A14E7D">
                  <w:rPr>
                    <w:b/>
                    <w:bCs/>
                    <w:color w:val="FFFFFF"/>
                  </w:rPr>
                  <w:t>Τομέας Μακροοικονομικής Ανάλυσης</w:t>
                </w:r>
              </w:p>
              <w:p w:rsidR="002F0A4D" w:rsidRPr="00A14E7D" w:rsidRDefault="002F0A4D" w:rsidP="008C3DCE">
                <w:pPr>
                  <w:spacing w:after="0" w:line="240" w:lineRule="auto"/>
                  <w:rPr>
                    <w:b/>
                    <w:bCs/>
                    <w:color w:val="FFFFFF"/>
                  </w:rPr>
                </w:pPr>
                <w:r w:rsidRPr="00A14E7D">
                  <w:rPr>
                    <w:b/>
                    <w:bCs/>
                    <w:color w:val="FFFFFF"/>
                  </w:rPr>
                  <w:t>και Ευρωπαϊκής Πολιτικής</w:t>
                </w:r>
              </w:p>
              <w:p w:rsidR="002F0A4D" w:rsidRPr="00A14E7D" w:rsidRDefault="002F0A4D" w:rsidP="008C3DCE">
                <w:pPr>
                  <w:spacing w:after="0" w:line="240" w:lineRule="auto"/>
                  <w:rPr>
                    <w:b/>
                    <w:bCs/>
                    <w:color w:val="FFFFFF"/>
                    <w:sz w:val="18"/>
                    <w:szCs w:val="18"/>
                  </w:rPr>
                </w:pPr>
              </w:p>
              <w:p w:rsidR="002F0A4D" w:rsidRPr="00A14E7D" w:rsidRDefault="002F0A4D" w:rsidP="008C3DCE">
                <w:pPr>
                  <w:spacing w:after="0" w:line="240" w:lineRule="auto"/>
                  <w:rPr>
                    <w:b/>
                    <w:bCs/>
                    <w:color w:val="FFFFFF"/>
                    <w:sz w:val="18"/>
                    <w:szCs w:val="18"/>
                    <w:lang w:val="en-US"/>
                  </w:rPr>
                </w:pPr>
                <w:r w:rsidRPr="00A14E7D">
                  <w:rPr>
                    <w:b/>
                    <w:bCs/>
                    <w:color w:val="FFFFFF"/>
                    <w:sz w:val="18"/>
                    <w:szCs w:val="18"/>
                  </w:rPr>
                  <w:t>ΜιχάληςΜασουράκης</w:t>
                </w:r>
              </w:p>
              <w:p w:rsidR="002F0A4D" w:rsidRPr="00A14E7D" w:rsidRDefault="002F0A4D" w:rsidP="008C3DCE">
                <w:pPr>
                  <w:widowControl w:val="0"/>
                  <w:spacing w:after="0" w:line="240" w:lineRule="auto"/>
                  <w:rPr>
                    <w:b/>
                    <w:bCs/>
                    <w:color w:val="FFFFFF"/>
                    <w:sz w:val="18"/>
                    <w:szCs w:val="18"/>
                    <w:lang w:val="en-US"/>
                  </w:rPr>
                </w:pPr>
                <w:r w:rsidRPr="00A14E7D">
                  <w:rPr>
                    <w:b/>
                    <w:bCs/>
                    <w:color w:val="FFFFFF"/>
                    <w:sz w:val="18"/>
                    <w:szCs w:val="18"/>
                    <w:lang w:val="en-US"/>
                  </w:rPr>
                  <w:t>Chief Economist</w:t>
                </w:r>
              </w:p>
              <w:p w:rsidR="002F0A4D" w:rsidRPr="00A14E7D" w:rsidRDefault="002F0A4D" w:rsidP="008C3DCE">
                <w:pPr>
                  <w:widowControl w:val="0"/>
                  <w:spacing w:after="0" w:line="240" w:lineRule="auto"/>
                  <w:rPr>
                    <w:color w:val="FFFFFF"/>
                    <w:sz w:val="18"/>
                    <w:szCs w:val="18"/>
                    <w:lang w:val="en-US"/>
                  </w:rPr>
                </w:pPr>
                <w:r w:rsidRPr="00A14E7D">
                  <w:rPr>
                    <w:color w:val="FFFFFF"/>
                    <w:sz w:val="18"/>
                    <w:szCs w:val="18"/>
                  </w:rPr>
                  <w:t>Ε</w:t>
                </w:r>
                <w:r w:rsidRPr="00A14E7D">
                  <w:rPr>
                    <w:color w:val="FFFFFF"/>
                    <w:sz w:val="18"/>
                    <w:szCs w:val="18"/>
                    <w:lang w:val="en-US"/>
                  </w:rPr>
                  <w:t xml:space="preserve">: </w:t>
                </w:r>
                <w:hyperlink r:id="rId2" w:history="1">
                  <w:r w:rsidRPr="00A14E7D">
                    <w:rPr>
                      <w:rStyle w:val="Hyperlink"/>
                      <w:color w:val="FFFFFF"/>
                      <w:sz w:val="18"/>
                      <w:szCs w:val="18"/>
                      <w:lang w:val="en-US"/>
                    </w:rPr>
                    <w:t>mmassourakis@sev.org.gr</w:t>
                  </w:r>
                </w:hyperlink>
              </w:p>
              <w:p w:rsidR="002F0A4D" w:rsidRPr="00A14E7D" w:rsidRDefault="002F0A4D" w:rsidP="008C3DCE">
                <w:pPr>
                  <w:spacing w:after="0" w:line="240" w:lineRule="auto"/>
                  <w:rPr>
                    <w:color w:val="FFFFFF"/>
                    <w:sz w:val="18"/>
                    <w:szCs w:val="18"/>
                  </w:rPr>
                </w:pPr>
                <w:r w:rsidRPr="00A14E7D">
                  <w:rPr>
                    <w:color w:val="FFFFFF"/>
                    <w:sz w:val="18"/>
                    <w:szCs w:val="18"/>
                  </w:rPr>
                  <w:t>Τ: +302115006104</w:t>
                </w:r>
              </w:p>
              <w:p w:rsidR="002F0A4D" w:rsidRPr="00A14E7D" w:rsidRDefault="002F0A4D" w:rsidP="008C3DCE">
                <w:pPr>
                  <w:spacing w:after="0" w:line="240" w:lineRule="auto"/>
                  <w:rPr>
                    <w:color w:val="FFFFFF"/>
                    <w:sz w:val="18"/>
                    <w:szCs w:val="18"/>
                  </w:rPr>
                </w:pPr>
              </w:p>
              <w:p w:rsidR="002F0A4D" w:rsidRPr="00A14E7D" w:rsidRDefault="002F0A4D" w:rsidP="008C3DCE">
                <w:pPr>
                  <w:spacing w:after="0" w:line="240" w:lineRule="auto"/>
                  <w:rPr>
                    <w:b/>
                    <w:bCs/>
                    <w:color w:val="FFFFFF"/>
                    <w:sz w:val="18"/>
                    <w:szCs w:val="18"/>
                  </w:rPr>
                </w:pPr>
                <w:r w:rsidRPr="00A14E7D">
                  <w:rPr>
                    <w:b/>
                    <w:bCs/>
                    <w:color w:val="FFFFFF"/>
                    <w:sz w:val="18"/>
                    <w:szCs w:val="18"/>
                  </w:rPr>
                  <w:t>Μιχάλης Μητσόπουλος</w:t>
                </w:r>
              </w:p>
              <w:p w:rsidR="002F0A4D" w:rsidRPr="00A14E7D" w:rsidRDefault="002F0A4D" w:rsidP="008C3DCE">
                <w:pPr>
                  <w:widowControl w:val="0"/>
                  <w:spacing w:after="0" w:line="240" w:lineRule="auto"/>
                  <w:rPr>
                    <w:b/>
                    <w:bCs/>
                    <w:color w:val="FFFFFF"/>
                    <w:sz w:val="18"/>
                    <w:szCs w:val="18"/>
                  </w:rPr>
                </w:pPr>
                <w:r w:rsidRPr="00A14E7D">
                  <w:rPr>
                    <w:b/>
                    <w:bCs/>
                    <w:color w:val="FFFFFF"/>
                    <w:sz w:val="18"/>
                    <w:szCs w:val="18"/>
                    <w:lang w:val="en-US"/>
                  </w:rPr>
                  <w:t>SeniorAdvisor</w:t>
                </w:r>
              </w:p>
              <w:p w:rsidR="002F0A4D" w:rsidRPr="00A14E7D" w:rsidRDefault="002F0A4D" w:rsidP="008C3DCE">
                <w:pPr>
                  <w:widowControl w:val="0"/>
                  <w:spacing w:after="0" w:line="240" w:lineRule="auto"/>
                  <w:rPr>
                    <w:color w:val="FFFFFF"/>
                    <w:sz w:val="18"/>
                    <w:szCs w:val="18"/>
                  </w:rPr>
                </w:pPr>
                <w:r w:rsidRPr="00A14E7D">
                  <w:rPr>
                    <w:color w:val="FFFFFF"/>
                    <w:sz w:val="18"/>
                    <w:szCs w:val="18"/>
                  </w:rPr>
                  <w:t xml:space="preserve">Ε: </w:t>
                </w:r>
                <w:hyperlink r:id="rId3" w:history="1">
                  <w:r w:rsidRPr="00A14E7D">
                    <w:rPr>
                      <w:rStyle w:val="Hyperlink"/>
                      <w:color w:val="FFFFFF"/>
                      <w:sz w:val="18"/>
                      <w:szCs w:val="18"/>
                      <w:lang w:val="en-US"/>
                    </w:rPr>
                    <w:t>mmitsopoulos</w:t>
                  </w:r>
                  <w:r w:rsidRPr="00A14E7D">
                    <w:rPr>
                      <w:rStyle w:val="Hyperlink"/>
                      <w:color w:val="FFFFFF"/>
                      <w:sz w:val="18"/>
                      <w:szCs w:val="18"/>
                    </w:rPr>
                    <w:t>@</w:t>
                  </w:r>
                  <w:r w:rsidRPr="00A14E7D">
                    <w:rPr>
                      <w:rStyle w:val="Hyperlink"/>
                      <w:color w:val="FFFFFF"/>
                      <w:sz w:val="18"/>
                      <w:szCs w:val="18"/>
                      <w:lang w:val="en-US"/>
                    </w:rPr>
                    <w:t>sev</w:t>
                  </w:r>
                  <w:r w:rsidRPr="00A14E7D">
                    <w:rPr>
                      <w:rStyle w:val="Hyperlink"/>
                      <w:color w:val="FFFFFF"/>
                      <w:sz w:val="18"/>
                      <w:szCs w:val="18"/>
                    </w:rPr>
                    <w:t>.</w:t>
                  </w:r>
                  <w:r w:rsidRPr="00A14E7D">
                    <w:rPr>
                      <w:rStyle w:val="Hyperlink"/>
                      <w:color w:val="FFFFFF"/>
                      <w:sz w:val="18"/>
                      <w:szCs w:val="18"/>
                      <w:lang w:val="en-US"/>
                    </w:rPr>
                    <w:t>org</w:t>
                  </w:r>
                  <w:r w:rsidRPr="00A14E7D">
                    <w:rPr>
                      <w:rStyle w:val="Hyperlink"/>
                      <w:color w:val="FFFFFF"/>
                      <w:sz w:val="18"/>
                      <w:szCs w:val="18"/>
                    </w:rPr>
                    <w:t>.</w:t>
                  </w:r>
                  <w:r w:rsidRPr="00A14E7D">
                    <w:rPr>
                      <w:rStyle w:val="Hyperlink"/>
                      <w:color w:val="FFFFFF"/>
                      <w:sz w:val="18"/>
                      <w:szCs w:val="18"/>
                      <w:lang w:val="en-US"/>
                    </w:rPr>
                    <w:t>gr</w:t>
                  </w:r>
                </w:hyperlink>
              </w:p>
              <w:p w:rsidR="002F0A4D" w:rsidRPr="00A14E7D" w:rsidRDefault="002F0A4D" w:rsidP="008C3DCE">
                <w:pPr>
                  <w:spacing w:after="0" w:line="240" w:lineRule="auto"/>
                  <w:rPr>
                    <w:color w:val="FFFFFF"/>
                    <w:sz w:val="18"/>
                    <w:szCs w:val="18"/>
                    <w:lang w:val="en-US"/>
                  </w:rPr>
                </w:pPr>
                <w:r w:rsidRPr="00A14E7D">
                  <w:rPr>
                    <w:color w:val="FFFFFF"/>
                    <w:sz w:val="18"/>
                    <w:szCs w:val="18"/>
                  </w:rPr>
                  <w:t>Τ</w:t>
                </w:r>
                <w:r w:rsidRPr="00A14E7D">
                  <w:rPr>
                    <w:color w:val="FFFFFF"/>
                    <w:sz w:val="18"/>
                    <w:szCs w:val="18"/>
                    <w:lang w:val="en-US"/>
                  </w:rPr>
                  <w:t>: +302115006157</w:t>
                </w:r>
              </w:p>
              <w:p w:rsidR="002F0A4D" w:rsidRPr="00A14E7D" w:rsidRDefault="002F0A4D" w:rsidP="008C3DCE">
                <w:pPr>
                  <w:spacing w:after="0" w:line="240" w:lineRule="auto"/>
                  <w:rPr>
                    <w:color w:val="FFFFFF"/>
                    <w:sz w:val="18"/>
                    <w:szCs w:val="18"/>
                    <w:lang w:val="en-US"/>
                  </w:rPr>
                </w:pPr>
              </w:p>
              <w:p w:rsidR="002F0A4D" w:rsidRPr="00A14E7D" w:rsidRDefault="002F0A4D" w:rsidP="008C3DCE">
                <w:pPr>
                  <w:spacing w:after="0" w:line="240" w:lineRule="auto"/>
                  <w:rPr>
                    <w:b/>
                    <w:bCs/>
                    <w:color w:val="FFFFFF"/>
                    <w:sz w:val="18"/>
                    <w:szCs w:val="18"/>
                    <w:lang w:val="en-US"/>
                  </w:rPr>
                </w:pPr>
                <w:r w:rsidRPr="00A14E7D">
                  <w:rPr>
                    <w:b/>
                    <w:bCs/>
                    <w:color w:val="FFFFFF"/>
                    <w:sz w:val="18"/>
                    <w:szCs w:val="18"/>
                  </w:rPr>
                  <w:t>ΘανάσηςΠρίντσιπας</w:t>
                </w:r>
              </w:p>
              <w:p w:rsidR="002F0A4D" w:rsidRPr="00A14E7D" w:rsidRDefault="002F0A4D" w:rsidP="008C3DCE">
                <w:pPr>
                  <w:spacing w:after="0" w:line="240" w:lineRule="auto"/>
                  <w:rPr>
                    <w:b/>
                    <w:bCs/>
                    <w:color w:val="FFFFFF"/>
                    <w:sz w:val="18"/>
                    <w:szCs w:val="18"/>
                    <w:lang w:val="en-US"/>
                  </w:rPr>
                </w:pPr>
                <w:r w:rsidRPr="00A14E7D">
                  <w:rPr>
                    <w:b/>
                    <w:bCs/>
                    <w:color w:val="FFFFFF"/>
                    <w:sz w:val="18"/>
                    <w:szCs w:val="18"/>
                    <w:lang w:val="en-US"/>
                  </w:rPr>
                  <w:t>Associate Advisor</w:t>
                </w:r>
              </w:p>
              <w:p w:rsidR="002F0A4D" w:rsidRPr="00A14E7D" w:rsidRDefault="002F0A4D" w:rsidP="008C3DCE">
                <w:pPr>
                  <w:widowControl w:val="0"/>
                  <w:spacing w:after="0" w:line="240" w:lineRule="auto"/>
                  <w:rPr>
                    <w:color w:val="FFFFFF"/>
                    <w:sz w:val="18"/>
                    <w:szCs w:val="18"/>
                    <w:lang w:val="en-US"/>
                  </w:rPr>
                </w:pPr>
                <w:r w:rsidRPr="00A14E7D">
                  <w:rPr>
                    <w:color w:val="FFFFFF"/>
                    <w:sz w:val="18"/>
                    <w:szCs w:val="18"/>
                  </w:rPr>
                  <w:t>Ε</w:t>
                </w:r>
                <w:r w:rsidRPr="00A14E7D">
                  <w:rPr>
                    <w:color w:val="FFFFFF"/>
                    <w:sz w:val="18"/>
                    <w:szCs w:val="18"/>
                    <w:lang w:val="en-US"/>
                  </w:rPr>
                  <w:t xml:space="preserve">: </w:t>
                </w:r>
                <w:hyperlink r:id="rId4" w:history="1">
                  <w:r w:rsidRPr="00A14E7D">
                    <w:rPr>
                      <w:rStyle w:val="Hyperlink"/>
                      <w:color w:val="FFFFFF"/>
                      <w:sz w:val="18"/>
                      <w:szCs w:val="18"/>
                      <w:lang w:val="en-US"/>
                    </w:rPr>
                    <w:t>printsipas@sev.org.gr</w:t>
                  </w:r>
                </w:hyperlink>
              </w:p>
              <w:p w:rsidR="002F0A4D" w:rsidRPr="00A14E7D" w:rsidRDefault="002F0A4D" w:rsidP="008C3DCE">
                <w:pPr>
                  <w:spacing w:after="0" w:line="240" w:lineRule="auto"/>
                  <w:rPr>
                    <w:color w:val="FFFFFF"/>
                    <w:sz w:val="18"/>
                    <w:szCs w:val="18"/>
                  </w:rPr>
                </w:pPr>
                <w:r w:rsidRPr="00A14E7D">
                  <w:rPr>
                    <w:color w:val="FFFFFF"/>
                    <w:sz w:val="18"/>
                    <w:szCs w:val="18"/>
                  </w:rPr>
                  <w:t>Τ: +302115006176</w:t>
                </w:r>
              </w:p>
              <w:p w:rsidR="002F0A4D" w:rsidRPr="00A14E7D" w:rsidRDefault="002F0A4D" w:rsidP="008C3DCE">
                <w:pPr>
                  <w:spacing w:after="0" w:line="240" w:lineRule="auto"/>
                  <w:rPr>
                    <w:color w:val="FFFFFF"/>
                    <w:sz w:val="8"/>
                    <w:szCs w:val="8"/>
                  </w:rPr>
                </w:pPr>
              </w:p>
              <w:p w:rsidR="002F0A4D" w:rsidRPr="00A14E7D" w:rsidRDefault="002F0A4D" w:rsidP="00360B95">
                <w:pPr>
                  <w:spacing w:after="0" w:line="240" w:lineRule="auto"/>
                  <w:jc w:val="both"/>
                  <w:rPr>
                    <w:color w:val="FFFFFF"/>
                    <w:sz w:val="18"/>
                    <w:szCs w:val="18"/>
                  </w:rPr>
                </w:pPr>
                <w:r w:rsidRPr="00A14E7D">
                  <w:rPr>
                    <w:color w:val="FFFFFF"/>
                    <w:sz w:val="16"/>
                    <w:szCs w:val="16"/>
                  </w:rPr>
                  <w:t>Οι απόψεις στην παρούσα έκθεση  είναι των συγγραφέων και όχι απαραίτητα του ΣΕΒ. Ο ΣΕΒ δεν φέρει καμία ευθύνη για την ακρίβεια ή την πληρότητα των πληροφοριών που περιλαμβάνει η έκθεση</w:t>
                </w:r>
                <w:r w:rsidRPr="00A14E7D">
                  <w:rPr>
                    <w:color w:val="FFFFFF"/>
                    <w:sz w:val="18"/>
                    <w:szCs w:val="18"/>
                  </w:rPr>
                  <w:t>.</w:t>
                </w:r>
              </w:p>
              <w:p w:rsidR="002F0A4D" w:rsidRPr="00A14E7D" w:rsidRDefault="002F0A4D" w:rsidP="00360B95">
                <w:pPr>
                  <w:spacing w:after="0" w:line="240" w:lineRule="auto"/>
                  <w:jc w:val="both"/>
                  <w:rPr>
                    <w:b/>
                    <w:bCs/>
                    <w:color w:val="FFFFFF"/>
                    <w:sz w:val="18"/>
                    <w:szCs w:val="18"/>
                  </w:rPr>
                </w:pPr>
              </w:p>
            </w:txbxContent>
          </v:textbox>
          <w10:wrap anchory="page"/>
        </v:shape>
      </w:pict>
    </w:r>
    <w:r>
      <w:tab/>
    </w:r>
    <w:r>
      <w:tab/>
    </w:r>
    <w:r>
      <w:tab/>
    </w:r>
    <w:r>
      <w:tab/>
    </w:r>
    <w:r>
      <w:tab/>
    </w:r>
    <w:r w:rsidRPr="00AD6868">
      <w:rPr>
        <w:sz w:val="18"/>
        <w:szCs w:val="18"/>
      </w:rPr>
      <w:fldChar w:fldCharType="begin"/>
    </w:r>
    <w:r w:rsidRPr="00AD6868">
      <w:rPr>
        <w:sz w:val="18"/>
        <w:szCs w:val="18"/>
      </w:rPr>
      <w:instrText xml:space="preserve"> PAGE   \* MERGEFORMAT </w:instrText>
    </w:r>
    <w:r w:rsidRPr="00AD6868">
      <w:rPr>
        <w:sz w:val="18"/>
        <w:szCs w:val="18"/>
      </w:rPr>
      <w:fldChar w:fldCharType="separate"/>
    </w:r>
    <w:r>
      <w:rPr>
        <w:noProof/>
        <w:sz w:val="18"/>
        <w:szCs w:val="18"/>
      </w:rPr>
      <w:t>1</w:t>
    </w:r>
    <w:r w:rsidRPr="00AD6868">
      <w:rPr>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A4D" w:rsidRPr="004A3F50" w:rsidRDefault="002F0A4D" w:rsidP="004A3F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A4D" w:rsidRDefault="002F0A4D" w:rsidP="00846D99">
      <w:pPr>
        <w:spacing w:after="0" w:line="240" w:lineRule="auto"/>
      </w:pPr>
      <w:r>
        <w:separator/>
      </w:r>
    </w:p>
  </w:footnote>
  <w:footnote w:type="continuationSeparator" w:id="1">
    <w:p w:rsidR="002F0A4D" w:rsidRDefault="002F0A4D" w:rsidP="00846D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A4D" w:rsidRDefault="002F0A4D" w:rsidP="001C7821">
    <w:pPr>
      <w:pStyle w:val="Header"/>
      <w:tabs>
        <w:tab w:val="clear" w:pos="4153"/>
        <w:tab w:val="clear" w:pos="8306"/>
        <w:tab w:val="left" w:pos="7411"/>
      </w:tabs>
    </w:pPr>
    <w:r>
      <w:rPr>
        <w:noProof/>
        <w:lang w:eastAsia="el-GR"/>
      </w:rPr>
      <w:pict>
        <v:rect id="Rectangle 5" o:spid="_x0000_s2049" style="position:absolute;margin-left:111pt;margin-top:-.15pt;width:416pt;height:27.75pt;rotation:180;z-index:-251656192;visibility:visible;v-text-anchor:middle" fillcolor="#cccce6" stroked="f">
          <v:fill rotate="t" angle="90" colors="0 #cccce6;43909f #cccce6" focus="100%" type="gradient"/>
          <o:lock v:ext="edit" shapetype="t"/>
          <v:textbox inset="2.88pt,2.88pt,2.88pt,2.88pt">
            <w:txbxContent>
              <w:tbl>
                <w:tblPr>
                  <w:tblW w:w="7371" w:type="dxa"/>
                  <w:tblInd w:w="-106" w:type="dxa"/>
                  <w:tblLook w:val="00A0"/>
                </w:tblPr>
                <w:tblGrid>
                  <w:gridCol w:w="7371"/>
                </w:tblGrid>
                <w:tr w:rsidR="002F0A4D" w:rsidRPr="00A14E7D">
                  <w:tc>
                    <w:tcPr>
                      <w:tcW w:w="7371" w:type="dxa"/>
                    </w:tcPr>
                    <w:p w:rsidR="002F0A4D" w:rsidRPr="00A14E7D" w:rsidRDefault="002F0A4D" w:rsidP="00A14E7D">
                      <w:pPr>
                        <w:spacing w:after="0" w:line="240" w:lineRule="auto"/>
                        <w:jc w:val="right"/>
                        <w:rPr>
                          <w:sz w:val="28"/>
                          <w:szCs w:val="28"/>
                        </w:rPr>
                      </w:pPr>
                      <w:r w:rsidRPr="00A14E7D">
                        <w:rPr>
                          <w:b/>
                          <w:bCs/>
                          <w:color w:val="244061"/>
                          <w:sz w:val="28"/>
                          <w:szCs w:val="28"/>
                        </w:rPr>
                        <w:t>οικονομία &amp; επιχειρήσεις</w:t>
                      </w:r>
                    </w:p>
                  </w:tc>
                </w:tr>
              </w:tbl>
              <w:p w:rsidR="002F0A4D" w:rsidRDefault="002F0A4D" w:rsidP="00E436A1">
                <w:pPr>
                  <w:jc w:val="center"/>
                </w:pPr>
              </w:p>
            </w:txbxContent>
          </v:textbox>
          <w10:wrap type="topAndBottom"/>
        </v:rect>
      </w:pict>
    </w: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2050" type="#_x0000_t75" alt="gr_epist_top" style="position:absolute;margin-left:-4.55pt;margin-top:-6.2pt;width:107.7pt;height:48.35pt;z-index:-251655168;visibility:visible">
          <v:imagedata r:id="rId1" o:title="" croptop="9881f" cropbottom="13175f" cropleft="3903f" cropright="39808f"/>
          <w10:wrap type="topAndBottom"/>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A4D" w:rsidRDefault="002F0A4D" w:rsidP="00361C4E">
    <w:pPr>
      <w:pStyle w:val="Header"/>
    </w:pPr>
    <w:r>
      <w:rPr>
        <w:noProof/>
        <w:lang w:eastAsia="el-GR"/>
      </w:rPr>
      <w:pict>
        <v:rect id="Rectangle 28" o:spid="_x0000_s2054" style="position:absolute;margin-left:113.9pt;margin-top:-.4pt;width:412.95pt;height:70.65pt;rotation:180;z-index:-251649024;visibility:visible" fillcolor="#cccce6" stroked="f">
          <v:fill rotate="t" angle="90" colors="0 #cccce6;43909f #cccce6" focus="100%" type="gradient"/>
          <o:lock v:ext="edit" shapetype="t"/>
          <v:textbox inset="2.88pt,2.88pt,2.88pt,2.88pt">
            <w:txbxContent>
              <w:p w:rsidR="002F0A4D" w:rsidRDefault="002F0A4D" w:rsidP="00361C4E">
                <w:pPr>
                  <w:jc w:val="center"/>
                </w:pPr>
              </w:p>
            </w:txbxContent>
          </v:textbox>
        </v:rect>
      </w:pict>
    </w:r>
    <w:r>
      <w:rPr>
        <w:noProof/>
        <w:lang w:eastAsia="el-GR"/>
      </w:rPr>
      <w:pict>
        <v:shapetype id="_x0000_t202" coordsize="21600,21600" o:spt="202" path="m,l,21600r21600,l21600,xe">
          <v:stroke joinstyle="miter"/>
          <v:path gradientshapeok="t" o:connecttype="rect"/>
        </v:shapetype>
        <v:shape id="Text Box 70" o:spid="_x0000_s2055" type="#_x0000_t202" style="position:absolute;margin-left:176.65pt;margin-top:-.4pt;width:350.25pt;height:41.6pt;z-index:251668480;visibility:visible;v-text-anchor:middle" fillcolor="#1f497d" stroked="f" strokeweight=".5pt">
          <v:textbox>
            <w:txbxContent>
              <w:p w:rsidR="002F0A4D" w:rsidRPr="00A14E7D" w:rsidRDefault="002F0A4D" w:rsidP="00361C4E">
                <w:pPr>
                  <w:spacing w:after="0" w:line="240" w:lineRule="auto"/>
                  <w:jc w:val="right"/>
                  <w:rPr>
                    <w:b/>
                    <w:bCs/>
                    <w:color w:val="FFFFFF"/>
                    <w:sz w:val="44"/>
                    <w:szCs w:val="44"/>
                  </w:rPr>
                </w:pPr>
                <w:r w:rsidRPr="00A14E7D">
                  <w:rPr>
                    <w:b/>
                    <w:bCs/>
                    <w:color w:val="FFFFFF"/>
                    <w:sz w:val="44"/>
                    <w:szCs w:val="44"/>
                    <w:lang w:val="en-US"/>
                  </w:rPr>
                  <w:t>o</w:t>
                </w:r>
                <w:r w:rsidRPr="00A14E7D">
                  <w:rPr>
                    <w:b/>
                    <w:bCs/>
                    <w:color w:val="FFFFFF"/>
                    <w:sz w:val="44"/>
                    <w:szCs w:val="44"/>
                  </w:rPr>
                  <w:t>ικονομία&amp; επιχειρήσεις</w:t>
                </w:r>
              </w:p>
            </w:txbxContent>
          </v:textbox>
        </v:shape>
      </w:pict>
    </w: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2056" type="#_x0000_t75" alt="gr_epist_top" style="position:absolute;margin-left:-4.5pt;margin-top:-6.2pt;width:118.6pt;height:53.25pt;z-index:-251646976;visibility:visible">
          <v:imagedata r:id="rId1" o:title="" croptop="9881f" cropbottom="13175f" cropleft="3903f" cropright="39808f"/>
          <w10:wrap type="topAndBottom"/>
        </v:shape>
      </w:pict>
    </w:r>
  </w:p>
  <w:p w:rsidR="002F0A4D" w:rsidRDefault="002F0A4D" w:rsidP="00361C4E">
    <w:pPr>
      <w:pStyle w:val="Header"/>
      <w:tabs>
        <w:tab w:val="clear" w:pos="4153"/>
        <w:tab w:val="clear" w:pos="8306"/>
        <w:tab w:val="left" w:pos="2505"/>
      </w:tabs>
    </w:pPr>
    <w:r>
      <w:rPr>
        <w:noProof/>
        <w:lang w:eastAsia="el-GR"/>
      </w:rPr>
      <w:pict>
        <v:shape id="Text Box 72" o:spid="_x0000_s2057" type="#_x0000_t202" style="position:absolute;margin-left:-5.6pt;margin-top:32.55pt;width:532.3pt;height:22.45pt;z-index:251670528;visibility:visible" filled="f" stroked="f" strokeweight=".5pt">
          <v:textbox>
            <w:txbxContent>
              <w:p w:rsidR="002F0A4D" w:rsidRPr="00A14E7D" w:rsidRDefault="002F0A4D" w:rsidP="00361C4E">
                <w:pPr>
                  <w:spacing w:after="0" w:line="240" w:lineRule="auto"/>
                  <w:jc w:val="right"/>
                  <w:rPr>
                    <w:b/>
                    <w:bCs/>
                    <w:color w:val="E36C0A"/>
                    <w:sz w:val="40"/>
                    <w:szCs w:val="40"/>
                  </w:rPr>
                </w:pPr>
                <w:r w:rsidRPr="00A14E7D">
                  <w:rPr>
                    <w:b/>
                    <w:bCs/>
                    <w:color w:val="E36C0A"/>
                  </w:rPr>
                  <w:tab/>
                </w:r>
                <w:r w:rsidRPr="00A14E7D">
                  <w:rPr>
                    <w:b/>
                    <w:bCs/>
                    <w:color w:val="E36C0A"/>
                  </w:rPr>
                  <w:tab/>
                </w:r>
                <w:r w:rsidRPr="00A14E7D">
                  <w:rPr>
                    <w:b/>
                    <w:bCs/>
                    <w:color w:val="E36C0A"/>
                  </w:rPr>
                  <w:tab/>
                </w:r>
                <w:r w:rsidRPr="00A14E7D">
                  <w:rPr>
                    <w:b/>
                    <w:bCs/>
                    <w:color w:val="1F497D"/>
                  </w:rPr>
                  <w:t>Εβδομαδιαίο δελτίο για την Ελληνική οικονομία</w:t>
                </w:r>
              </w:p>
              <w:p w:rsidR="002F0A4D" w:rsidRPr="00A14E7D" w:rsidRDefault="002F0A4D" w:rsidP="00361C4E">
                <w:pPr>
                  <w:jc w:val="right"/>
                  <w:rPr>
                    <w:b/>
                    <w:bCs/>
                    <w:color w:val="E36C0A"/>
                  </w:rPr>
                </w:pPr>
              </w:p>
            </w:txbxContent>
          </v:textbox>
        </v:shape>
      </w:pict>
    </w:r>
    <w:r>
      <w:tab/>
    </w:r>
  </w:p>
  <w:p w:rsidR="002F0A4D" w:rsidRPr="004A3F50" w:rsidRDefault="002F0A4D" w:rsidP="004A3F5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A4D" w:rsidRDefault="002F0A4D" w:rsidP="00361C4E">
    <w:pPr>
      <w:pStyle w:val="Header"/>
      <w:tabs>
        <w:tab w:val="clear" w:pos="4153"/>
        <w:tab w:val="clear" w:pos="8306"/>
        <w:tab w:val="left" w:pos="7411"/>
      </w:tabs>
    </w:pPr>
    <w:r>
      <w:rPr>
        <w:noProof/>
        <w:lang w:eastAsia="el-GR"/>
      </w:rPr>
      <w:pict>
        <v:rect id="Rectangle 17" o:spid="_x0000_s2060" style="position:absolute;margin-left:111pt;margin-top:-.15pt;width:416pt;height:27.75pt;rotation:180;z-index:-251640832;visibility:visible;v-text-anchor:middle" fillcolor="#cccce6" stroked="f">
          <v:fill rotate="t" angle="90" colors="0 #cccce6;43909f #cccce6" focus="100%" type="gradient"/>
          <o:lock v:ext="edit" shapetype="t"/>
          <v:textbox inset="2.88pt,2.88pt,2.88pt,2.88pt">
            <w:txbxContent>
              <w:tbl>
                <w:tblPr>
                  <w:tblW w:w="7371" w:type="dxa"/>
                  <w:tblInd w:w="-106" w:type="dxa"/>
                  <w:tblLook w:val="00A0"/>
                </w:tblPr>
                <w:tblGrid>
                  <w:gridCol w:w="7371"/>
                </w:tblGrid>
                <w:tr w:rsidR="002F0A4D" w:rsidRPr="00A14E7D">
                  <w:tc>
                    <w:tcPr>
                      <w:tcW w:w="7371" w:type="dxa"/>
                    </w:tcPr>
                    <w:p w:rsidR="002F0A4D" w:rsidRPr="00A14E7D" w:rsidRDefault="002F0A4D" w:rsidP="00A14E7D">
                      <w:pPr>
                        <w:spacing w:after="0" w:line="240" w:lineRule="auto"/>
                        <w:jc w:val="right"/>
                        <w:rPr>
                          <w:sz w:val="28"/>
                          <w:szCs w:val="28"/>
                        </w:rPr>
                      </w:pPr>
                      <w:r w:rsidRPr="00A14E7D">
                        <w:rPr>
                          <w:b/>
                          <w:bCs/>
                          <w:color w:val="244061"/>
                          <w:sz w:val="28"/>
                          <w:szCs w:val="28"/>
                        </w:rPr>
                        <w:t>οικονομία &amp; επιχειρήσεις</w:t>
                      </w:r>
                    </w:p>
                  </w:tc>
                </w:tr>
              </w:tbl>
              <w:p w:rsidR="002F0A4D" w:rsidRDefault="002F0A4D" w:rsidP="00361C4E">
                <w:pPr>
                  <w:jc w:val="center"/>
                </w:pPr>
              </w:p>
            </w:txbxContent>
          </v:textbox>
          <w10:wrap type="topAndBottom"/>
        </v:rect>
      </w:pict>
    </w: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2061" type="#_x0000_t75" alt="gr_epist_top" style="position:absolute;margin-left:-4.55pt;margin-top:-6.2pt;width:107.7pt;height:48.35pt;z-index:-251639808;visibility:visible">
          <v:imagedata r:id="rId1" o:title="" croptop="9881f" cropbottom="13175f" cropleft="3903f" cropright="39808f"/>
          <w10:wrap type="topAndBottom"/>
        </v:shape>
      </w:pict>
    </w:r>
  </w:p>
  <w:p w:rsidR="002F0A4D" w:rsidRDefault="002F0A4D" w:rsidP="00361C4E">
    <w:pPr>
      <w:pStyle w:val="Header"/>
      <w:tabs>
        <w:tab w:val="clear" w:pos="4153"/>
        <w:tab w:val="clear" w:pos="8306"/>
        <w:tab w:val="left" w:pos="2505"/>
      </w:tabs>
    </w:pPr>
    <w:r>
      <w:tab/>
    </w:r>
  </w:p>
  <w:p w:rsidR="002F0A4D" w:rsidRPr="004A3F50" w:rsidRDefault="002F0A4D" w:rsidP="004A3F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07EF"/>
    <w:multiLevelType w:val="hybridMultilevel"/>
    <w:tmpl w:val="A3C07178"/>
    <w:lvl w:ilvl="0" w:tplc="7D1ABD7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BFB5AE4"/>
    <w:multiLevelType w:val="hybridMultilevel"/>
    <w:tmpl w:val="3EE2D94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D454001"/>
    <w:multiLevelType w:val="hybridMultilevel"/>
    <w:tmpl w:val="75F81738"/>
    <w:lvl w:ilvl="0" w:tplc="BD143382">
      <w:numFmt w:val="bullet"/>
      <w:lvlText w:val="•"/>
      <w:lvlJc w:val="left"/>
      <w:pPr>
        <w:ind w:left="720" w:hanging="675"/>
      </w:pPr>
      <w:rPr>
        <w:rFonts w:ascii="Calibri" w:eastAsia="Times New Roman" w:hAnsi="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cs="Wingdings" w:hint="default"/>
      </w:rPr>
    </w:lvl>
    <w:lvl w:ilvl="3" w:tplc="04090001">
      <w:start w:val="1"/>
      <w:numFmt w:val="bullet"/>
      <w:lvlText w:val=""/>
      <w:lvlJc w:val="left"/>
      <w:pPr>
        <w:ind w:left="2565" w:hanging="360"/>
      </w:pPr>
      <w:rPr>
        <w:rFonts w:ascii="Symbol" w:hAnsi="Symbol" w:cs="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cs="Wingdings" w:hint="default"/>
      </w:rPr>
    </w:lvl>
    <w:lvl w:ilvl="6" w:tplc="04090001">
      <w:start w:val="1"/>
      <w:numFmt w:val="bullet"/>
      <w:lvlText w:val=""/>
      <w:lvlJc w:val="left"/>
      <w:pPr>
        <w:ind w:left="4725" w:hanging="360"/>
      </w:pPr>
      <w:rPr>
        <w:rFonts w:ascii="Symbol" w:hAnsi="Symbol" w:cs="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cs="Wingdings" w:hint="default"/>
      </w:rPr>
    </w:lvl>
  </w:abstractNum>
  <w:abstractNum w:abstractNumId="3">
    <w:nsid w:val="0DBF10D3"/>
    <w:multiLevelType w:val="hybridMultilevel"/>
    <w:tmpl w:val="5A48E0B8"/>
    <w:lvl w:ilvl="0" w:tplc="7D1ABD7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A64262E"/>
    <w:multiLevelType w:val="hybridMultilevel"/>
    <w:tmpl w:val="F35469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24162742"/>
    <w:multiLevelType w:val="hybridMultilevel"/>
    <w:tmpl w:val="8206A5E4"/>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
    <w:nsid w:val="24D70989"/>
    <w:multiLevelType w:val="hybridMultilevel"/>
    <w:tmpl w:val="F5C8B78A"/>
    <w:lvl w:ilvl="0" w:tplc="04090001">
      <w:start w:val="1"/>
      <w:numFmt w:val="bullet"/>
      <w:lvlText w:val=""/>
      <w:lvlJc w:val="left"/>
      <w:pPr>
        <w:ind w:left="896" w:hanging="360"/>
      </w:pPr>
      <w:rPr>
        <w:rFonts w:ascii="Symbol" w:hAnsi="Symbol" w:cs="Symbol" w:hint="default"/>
      </w:rPr>
    </w:lvl>
    <w:lvl w:ilvl="1" w:tplc="04090003">
      <w:start w:val="1"/>
      <w:numFmt w:val="bullet"/>
      <w:lvlText w:val="o"/>
      <w:lvlJc w:val="left"/>
      <w:pPr>
        <w:ind w:left="1616" w:hanging="360"/>
      </w:pPr>
      <w:rPr>
        <w:rFonts w:ascii="Courier New" w:hAnsi="Courier New" w:cs="Courier New" w:hint="default"/>
      </w:rPr>
    </w:lvl>
    <w:lvl w:ilvl="2" w:tplc="04090005">
      <w:start w:val="1"/>
      <w:numFmt w:val="bullet"/>
      <w:lvlText w:val=""/>
      <w:lvlJc w:val="left"/>
      <w:pPr>
        <w:ind w:left="2336" w:hanging="360"/>
      </w:pPr>
      <w:rPr>
        <w:rFonts w:ascii="Wingdings" w:hAnsi="Wingdings" w:cs="Wingdings" w:hint="default"/>
      </w:rPr>
    </w:lvl>
    <w:lvl w:ilvl="3" w:tplc="04090001">
      <w:start w:val="1"/>
      <w:numFmt w:val="bullet"/>
      <w:lvlText w:val=""/>
      <w:lvlJc w:val="left"/>
      <w:pPr>
        <w:ind w:left="3056" w:hanging="360"/>
      </w:pPr>
      <w:rPr>
        <w:rFonts w:ascii="Symbol" w:hAnsi="Symbol" w:cs="Symbol" w:hint="default"/>
      </w:rPr>
    </w:lvl>
    <w:lvl w:ilvl="4" w:tplc="04090003">
      <w:start w:val="1"/>
      <w:numFmt w:val="bullet"/>
      <w:lvlText w:val="o"/>
      <w:lvlJc w:val="left"/>
      <w:pPr>
        <w:ind w:left="3776" w:hanging="360"/>
      </w:pPr>
      <w:rPr>
        <w:rFonts w:ascii="Courier New" w:hAnsi="Courier New" w:cs="Courier New" w:hint="default"/>
      </w:rPr>
    </w:lvl>
    <w:lvl w:ilvl="5" w:tplc="04090005">
      <w:start w:val="1"/>
      <w:numFmt w:val="bullet"/>
      <w:lvlText w:val=""/>
      <w:lvlJc w:val="left"/>
      <w:pPr>
        <w:ind w:left="4496" w:hanging="360"/>
      </w:pPr>
      <w:rPr>
        <w:rFonts w:ascii="Wingdings" w:hAnsi="Wingdings" w:cs="Wingdings" w:hint="default"/>
      </w:rPr>
    </w:lvl>
    <w:lvl w:ilvl="6" w:tplc="04090001">
      <w:start w:val="1"/>
      <w:numFmt w:val="bullet"/>
      <w:lvlText w:val=""/>
      <w:lvlJc w:val="left"/>
      <w:pPr>
        <w:ind w:left="5216" w:hanging="360"/>
      </w:pPr>
      <w:rPr>
        <w:rFonts w:ascii="Symbol" w:hAnsi="Symbol" w:cs="Symbol" w:hint="default"/>
      </w:rPr>
    </w:lvl>
    <w:lvl w:ilvl="7" w:tplc="04090003">
      <w:start w:val="1"/>
      <w:numFmt w:val="bullet"/>
      <w:lvlText w:val="o"/>
      <w:lvlJc w:val="left"/>
      <w:pPr>
        <w:ind w:left="5936" w:hanging="360"/>
      </w:pPr>
      <w:rPr>
        <w:rFonts w:ascii="Courier New" w:hAnsi="Courier New" w:cs="Courier New" w:hint="default"/>
      </w:rPr>
    </w:lvl>
    <w:lvl w:ilvl="8" w:tplc="04090005">
      <w:start w:val="1"/>
      <w:numFmt w:val="bullet"/>
      <w:lvlText w:val=""/>
      <w:lvlJc w:val="left"/>
      <w:pPr>
        <w:ind w:left="6656" w:hanging="360"/>
      </w:pPr>
      <w:rPr>
        <w:rFonts w:ascii="Wingdings" w:hAnsi="Wingdings" w:cs="Wingdings" w:hint="default"/>
      </w:rPr>
    </w:lvl>
  </w:abstractNum>
  <w:abstractNum w:abstractNumId="7">
    <w:nsid w:val="258F10E8"/>
    <w:multiLevelType w:val="hybridMultilevel"/>
    <w:tmpl w:val="8B5498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260369E4"/>
    <w:multiLevelType w:val="hybridMultilevel"/>
    <w:tmpl w:val="3922467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268871EC"/>
    <w:multiLevelType w:val="hybridMultilevel"/>
    <w:tmpl w:val="700CD892"/>
    <w:lvl w:ilvl="0" w:tplc="2D00A80A">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nsid w:val="29EE53C3"/>
    <w:multiLevelType w:val="hybridMultilevel"/>
    <w:tmpl w:val="454CD5F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BF174CD"/>
    <w:multiLevelType w:val="hybridMultilevel"/>
    <w:tmpl w:val="228E215C"/>
    <w:lvl w:ilvl="0" w:tplc="5A804B02">
      <w:numFmt w:val="bullet"/>
      <w:lvlText w:val="•"/>
      <w:lvlJc w:val="left"/>
      <w:pPr>
        <w:ind w:left="536" w:hanging="360"/>
      </w:pPr>
      <w:rPr>
        <w:rFonts w:ascii="Calibri" w:eastAsia="Times New Roman" w:hAnsi="Calibri" w:hint="default"/>
      </w:rPr>
    </w:lvl>
    <w:lvl w:ilvl="1" w:tplc="04090003">
      <w:start w:val="1"/>
      <w:numFmt w:val="bullet"/>
      <w:lvlText w:val="o"/>
      <w:lvlJc w:val="left"/>
      <w:pPr>
        <w:ind w:left="1256" w:hanging="360"/>
      </w:pPr>
      <w:rPr>
        <w:rFonts w:ascii="Courier New" w:hAnsi="Courier New" w:cs="Courier New" w:hint="default"/>
      </w:rPr>
    </w:lvl>
    <w:lvl w:ilvl="2" w:tplc="04090005">
      <w:start w:val="1"/>
      <w:numFmt w:val="bullet"/>
      <w:lvlText w:val=""/>
      <w:lvlJc w:val="left"/>
      <w:pPr>
        <w:ind w:left="1976" w:hanging="360"/>
      </w:pPr>
      <w:rPr>
        <w:rFonts w:ascii="Wingdings" w:hAnsi="Wingdings" w:cs="Wingdings" w:hint="default"/>
      </w:rPr>
    </w:lvl>
    <w:lvl w:ilvl="3" w:tplc="04090001">
      <w:start w:val="1"/>
      <w:numFmt w:val="bullet"/>
      <w:lvlText w:val=""/>
      <w:lvlJc w:val="left"/>
      <w:pPr>
        <w:ind w:left="2696" w:hanging="360"/>
      </w:pPr>
      <w:rPr>
        <w:rFonts w:ascii="Symbol" w:hAnsi="Symbol" w:cs="Symbol" w:hint="default"/>
      </w:rPr>
    </w:lvl>
    <w:lvl w:ilvl="4" w:tplc="04090003">
      <w:start w:val="1"/>
      <w:numFmt w:val="bullet"/>
      <w:lvlText w:val="o"/>
      <w:lvlJc w:val="left"/>
      <w:pPr>
        <w:ind w:left="3416" w:hanging="360"/>
      </w:pPr>
      <w:rPr>
        <w:rFonts w:ascii="Courier New" w:hAnsi="Courier New" w:cs="Courier New" w:hint="default"/>
      </w:rPr>
    </w:lvl>
    <w:lvl w:ilvl="5" w:tplc="04090005">
      <w:start w:val="1"/>
      <w:numFmt w:val="bullet"/>
      <w:lvlText w:val=""/>
      <w:lvlJc w:val="left"/>
      <w:pPr>
        <w:ind w:left="4136" w:hanging="360"/>
      </w:pPr>
      <w:rPr>
        <w:rFonts w:ascii="Wingdings" w:hAnsi="Wingdings" w:cs="Wingdings" w:hint="default"/>
      </w:rPr>
    </w:lvl>
    <w:lvl w:ilvl="6" w:tplc="04090001">
      <w:start w:val="1"/>
      <w:numFmt w:val="bullet"/>
      <w:lvlText w:val=""/>
      <w:lvlJc w:val="left"/>
      <w:pPr>
        <w:ind w:left="4856" w:hanging="360"/>
      </w:pPr>
      <w:rPr>
        <w:rFonts w:ascii="Symbol" w:hAnsi="Symbol" w:cs="Symbol" w:hint="default"/>
      </w:rPr>
    </w:lvl>
    <w:lvl w:ilvl="7" w:tplc="04090003">
      <w:start w:val="1"/>
      <w:numFmt w:val="bullet"/>
      <w:lvlText w:val="o"/>
      <w:lvlJc w:val="left"/>
      <w:pPr>
        <w:ind w:left="5576" w:hanging="360"/>
      </w:pPr>
      <w:rPr>
        <w:rFonts w:ascii="Courier New" w:hAnsi="Courier New" w:cs="Courier New" w:hint="default"/>
      </w:rPr>
    </w:lvl>
    <w:lvl w:ilvl="8" w:tplc="04090005">
      <w:start w:val="1"/>
      <w:numFmt w:val="bullet"/>
      <w:lvlText w:val=""/>
      <w:lvlJc w:val="left"/>
      <w:pPr>
        <w:ind w:left="6296" w:hanging="360"/>
      </w:pPr>
      <w:rPr>
        <w:rFonts w:ascii="Wingdings" w:hAnsi="Wingdings" w:cs="Wingdings" w:hint="default"/>
      </w:rPr>
    </w:lvl>
  </w:abstractNum>
  <w:abstractNum w:abstractNumId="12">
    <w:nsid w:val="32DC54CE"/>
    <w:multiLevelType w:val="hybridMultilevel"/>
    <w:tmpl w:val="013CCC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3237B3B"/>
    <w:multiLevelType w:val="hybridMultilevel"/>
    <w:tmpl w:val="C914A2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A226190"/>
    <w:multiLevelType w:val="hybridMultilevel"/>
    <w:tmpl w:val="9B0A34C4"/>
    <w:lvl w:ilvl="0" w:tplc="073279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4AF27ED"/>
    <w:multiLevelType w:val="hybridMultilevel"/>
    <w:tmpl w:val="CA5EFA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48540288"/>
    <w:multiLevelType w:val="multilevel"/>
    <w:tmpl w:val="9780AA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49197FCE"/>
    <w:multiLevelType w:val="hybridMultilevel"/>
    <w:tmpl w:val="559463CC"/>
    <w:lvl w:ilvl="0" w:tplc="D0F4CE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B7F7FA2"/>
    <w:multiLevelType w:val="multilevel"/>
    <w:tmpl w:val="8BF6F2E8"/>
    <w:lvl w:ilvl="0">
      <w:start w:val="1"/>
      <w:numFmt w:val="bullet"/>
      <w:lvlText w:val=""/>
      <w:lvlJc w:val="left"/>
      <w:pPr>
        <w:ind w:left="360" w:hanging="360"/>
      </w:pPr>
      <w:rPr>
        <w:rFonts w:ascii="Symbol" w:hAnsi="Symbol" w:cs="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BF370FC"/>
    <w:multiLevelType w:val="hybridMultilevel"/>
    <w:tmpl w:val="2F6A5B0C"/>
    <w:lvl w:ilvl="0" w:tplc="372AB2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E2D4E4C"/>
    <w:multiLevelType w:val="hybridMultilevel"/>
    <w:tmpl w:val="C4881C7E"/>
    <w:lvl w:ilvl="0" w:tplc="1DA8FE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0D00AA0"/>
    <w:multiLevelType w:val="hybridMultilevel"/>
    <w:tmpl w:val="A9BAED96"/>
    <w:lvl w:ilvl="0" w:tplc="725A5A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36B7F55"/>
    <w:multiLevelType w:val="hybridMultilevel"/>
    <w:tmpl w:val="25F8FDA0"/>
    <w:lvl w:ilvl="0" w:tplc="68F01E70">
      <w:numFmt w:val="bullet"/>
      <w:lvlText w:val=""/>
      <w:lvlJc w:val="left"/>
      <w:pPr>
        <w:ind w:left="1069" w:hanging="360"/>
      </w:pPr>
      <w:rPr>
        <w:rFonts w:ascii="Symbol" w:eastAsia="Times New Roman" w:hAnsi="Symbol"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cs="Wingdings" w:hint="default"/>
      </w:rPr>
    </w:lvl>
    <w:lvl w:ilvl="3" w:tplc="04090001">
      <w:start w:val="1"/>
      <w:numFmt w:val="bullet"/>
      <w:lvlText w:val=""/>
      <w:lvlJc w:val="left"/>
      <w:pPr>
        <w:ind w:left="3229" w:hanging="360"/>
      </w:pPr>
      <w:rPr>
        <w:rFonts w:ascii="Symbol" w:hAnsi="Symbol" w:cs="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cs="Wingdings" w:hint="default"/>
      </w:rPr>
    </w:lvl>
    <w:lvl w:ilvl="6" w:tplc="04090001">
      <w:start w:val="1"/>
      <w:numFmt w:val="bullet"/>
      <w:lvlText w:val=""/>
      <w:lvlJc w:val="left"/>
      <w:pPr>
        <w:ind w:left="5389" w:hanging="360"/>
      </w:pPr>
      <w:rPr>
        <w:rFonts w:ascii="Symbol" w:hAnsi="Symbol" w:cs="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cs="Wingdings" w:hint="default"/>
      </w:rPr>
    </w:lvl>
  </w:abstractNum>
  <w:abstractNum w:abstractNumId="23">
    <w:nsid w:val="57924C15"/>
    <w:multiLevelType w:val="hybridMultilevel"/>
    <w:tmpl w:val="0362172E"/>
    <w:lvl w:ilvl="0" w:tplc="04090001">
      <w:start w:val="1"/>
      <w:numFmt w:val="bullet"/>
      <w:lvlText w:val=""/>
      <w:lvlJc w:val="left"/>
      <w:pPr>
        <w:ind w:left="896" w:hanging="360"/>
      </w:pPr>
      <w:rPr>
        <w:rFonts w:ascii="Symbol" w:hAnsi="Symbol" w:cs="Symbol" w:hint="default"/>
      </w:rPr>
    </w:lvl>
    <w:lvl w:ilvl="1" w:tplc="04090003">
      <w:start w:val="1"/>
      <w:numFmt w:val="bullet"/>
      <w:lvlText w:val="o"/>
      <w:lvlJc w:val="left"/>
      <w:pPr>
        <w:ind w:left="1616" w:hanging="360"/>
      </w:pPr>
      <w:rPr>
        <w:rFonts w:ascii="Courier New" w:hAnsi="Courier New" w:cs="Courier New" w:hint="default"/>
      </w:rPr>
    </w:lvl>
    <w:lvl w:ilvl="2" w:tplc="04090005">
      <w:start w:val="1"/>
      <w:numFmt w:val="bullet"/>
      <w:lvlText w:val=""/>
      <w:lvlJc w:val="left"/>
      <w:pPr>
        <w:ind w:left="2336" w:hanging="360"/>
      </w:pPr>
      <w:rPr>
        <w:rFonts w:ascii="Wingdings" w:hAnsi="Wingdings" w:cs="Wingdings" w:hint="default"/>
      </w:rPr>
    </w:lvl>
    <w:lvl w:ilvl="3" w:tplc="04090001">
      <w:start w:val="1"/>
      <w:numFmt w:val="bullet"/>
      <w:lvlText w:val=""/>
      <w:lvlJc w:val="left"/>
      <w:pPr>
        <w:ind w:left="3056" w:hanging="360"/>
      </w:pPr>
      <w:rPr>
        <w:rFonts w:ascii="Symbol" w:hAnsi="Symbol" w:cs="Symbol" w:hint="default"/>
      </w:rPr>
    </w:lvl>
    <w:lvl w:ilvl="4" w:tplc="04090003">
      <w:start w:val="1"/>
      <w:numFmt w:val="bullet"/>
      <w:lvlText w:val="o"/>
      <w:lvlJc w:val="left"/>
      <w:pPr>
        <w:ind w:left="3776" w:hanging="360"/>
      </w:pPr>
      <w:rPr>
        <w:rFonts w:ascii="Courier New" w:hAnsi="Courier New" w:cs="Courier New" w:hint="default"/>
      </w:rPr>
    </w:lvl>
    <w:lvl w:ilvl="5" w:tplc="04090005">
      <w:start w:val="1"/>
      <w:numFmt w:val="bullet"/>
      <w:lvlText w:val=""/>
      <w:lvlJc w:val="left"/>
      <w:pPr>
        <w:ind w:left="4496" w:hanging="360"/>
      </w:pPr>
      <w:rPr>
        <w:rFonts w:ascii="Wingdings" w:hAnsi="Wingdings" w:cs="Wingdings" w:hint="default"/>
      </w:rPr>
    </w:lvl>
    <w:lvl w:ilvl="6" w:tplc="04090001">
      <w:start w:val="1"/>
      <w:numFmt w:val="bullet"/>
      <w:lvlText w:val=""/>
      <w:lvlJc w:val="left"/>
      <w:pPr>
        <w:ind w:left="5216" w:hanging="360"/>
      </w:pPr>
      <w:rPr>
        <w:rFonts w:ascii="Symbol" w:hAnsi="Symbol" w:cs="Symbol" w:hint="default"/>
      </w:rPr>
    </w:lvl>
    <w:lvl w:ilvl="7" w:tplc="04090003">
      <w:start w:val="1"/>
      <w:numFmt w:val="bullet"/>
      <w:lvlText w:val="o"/>
      <w:lvlJc w:val="left"/>
      <w:pPr>
        <w:ind w:left="5936" w:hanging="360"/>
      </w:pPr>
      <w:rPr>
        <w:rFonts w:ascii="Courier New" w:hAnsi="Courier New" w:cs="Courier New" w:hint="default"/>
      </w:rPr>
    </w:lvl>
    <w:lvl w:ilvl="8" w:tplc="04090005">
      <w:start w:val="1"/>
      <w:numFmt w:val="bullet"/>
      <w:lvlText w:val=""/>
      <w:lvlJc w:val="left"/>
      <w:pPr>
        <w:ind w:left="6656" w:hanging="360"/>
      </w:pPr>
      <w:rPr>
        <w:rFonts w:ascii="Wingdings" w:hAnsi="Wingdings" w:cs="Wingdings" w:hint="default"/>
      </w:rPr>
    </w:lvl>
  </w:abstractNum>
  <w:abstractNum w:abstractNumId="24">
    <w:nsid w:val="62AC2C62"/>
    <w:multiLevelType w:val="hybridMultilevel"/>
    <w:tmpl w:val="DADE19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6365643D"/>
    <w:multiLevelType w:val="hybridMultilevel"/>
    <w:tmpl w:val="8A42919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6">
    <w:nsid w:val="65182426"/>
    <w:multiLevelType w:val="hybridMultilevel"/>
    <w:tmpl w:val="1F88126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6A713ECE"/>
    <w:multiLevelType w:val="hybridMultilevel"/>
    <w:tmpl w:val="46B058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6BE92105"/>
    <w:multiLevelType w:val="hybridMultilevel"/>
    <w:tmpl w:val="F22C41F0"/>
    <w:lvl w:ilvl="0" w:tplc="DB70EBBA">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9">
    <w:nsid w:val="6F7403FC"/>
    <w:multiLevelType w:val="hybridMultilevel"/>
    <w:tmpl w:val="37E0E2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76B12639"/>
    <w:multiLevelType w:val="hybridMultilevel"/>
    <w:tmpl w:val="B81EED58"/>
    <w:lvl w:ilvl="0" w:tplc="A030008E">
      <w:start w:val="1"/>
      <w:numFmt w:val="decimal"/>
      <w:lvlText w:val="%1)"/>
      <w:lvlJc w:val="left"/>
      <w:pPr>
        <w:ind w:left="108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nsid w:val="7D852513"/>
    <w:multiLevelType w:val="hybridMultilevel"/>
    <w:tmpl w:val="15B41E3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7D975FE9"/>
    <w:multiLevelType w:val="hybridMultilevel"/>
    <w:tmpl w:val="6FC2DB54"/>
    <w:lvl w:ilvl="0" w:tplc="04080001">
      <w:start w:val="1"/>
      <w:numFmt w:val="bullet"/>
      <w:lvlText w:val=""/>
      <w:lvlJc w:val="left"/>
      <w:pPr>
        <w:ind w:left="1080" w:hanging="360"/>
      </w:pPr>
      <w:rPr>
        <w:rFonts w:ascii="Symbol" w:hAnsi="Symbol" w:cs="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33">
    <w:nsid w:val="7ECE6987"/>
    <w:multiLevelType w:val="hybridMultilevel"/>
    <w:tmpl w:val="39086834"/>
    <w:lvl w:ilvl="0" w:tplc="2D00A80A">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34">
    <w:nsid w:val="7FCC0748"/>
    <w:multiLevelType w:val="hybridMultilevel"/>
    <w:tmpl w:val="4EE894F6"/>
    <w:lvl w:ilvl="0" w:tplc="A05A0DD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4"/>
  </w:num>
  <w:num w:numId="2">
    <w:abstractNumId w:val="16"/>
  </w:num>
  <w:num w:numId="3">
    <w:abstractNumId w:val="23"/>
  </w:num>
  <w:num w:numId="4">
    <w:abstractNumId w:val="6"/>
  </w:num>
  <w:num w:numId="5">
    <w:abstractNumId w:val="8"/>
  </w:num>
  <w:num w:numId="6">
    <w:abstractNumId w:val="11"/>
  </w:num>
  <w:num w:numId="7">
    <w:abstractNumId w:val="22"/>
  </w:num>
  <w:num w:numId="8">
    <w:abstractNumId w:val="32"/>
  </w:num>
  <w:num w:numId="9">
    <w:abstractNumId w:val="28"/>
  </w:num>
  <w:num w:numId="10">
    <w:abstractNumId w:val="5"/>
  </w:num>
  <w:num w:numId="11">
    <w:abstractNumId w:val="7"/>
  </w:num>
  <w:num w:numId="12">
    <w:abstractNumId w:val="4"/>
  </w:num>
  <w:num w:numId="13">
    <w:abstractNumId w:val="15"/>
  </w:num>
  <w:num w:numId="14">
    <w:abstractNumId w:val="1"/>
  </w:num>
  <w:num w:numId="15">
    <w:abstractNumId w:val="26"/>
  </w:num>
  <w:num w:numId="16">
    <w:abstractNumId w:val="3"/>
  </w:num>
  <w:num w:numId="17">
    <w:abstractNumId w:val="13"/>
  </w:num>
  <w:num w:numId="18">
    <w:abstractNumId w:val="21"/>
  </w:num>
  <w:num w:numId="19">
    <w:abstractNumId w:val="19"/>
  </w:num>
  <w:num w:numId="20">
    <w:abstractNumId w:val="20"/>
  </w:num>
  <w:num w:numId="21">
    <w:abstractNumId w:val="17"/>
  </w:num>
  <w:num w:numId="22">
    <w:abstractNumId w:val="14"/>
  </w:num>
  <w:num w:numId="23">
    <w:abstractNumId w:val="31"/>
  </w:num>
  <w:num w:numId="24">
    <w:abstractNumId w:val="0"/>
  </w:num>
  <w:num w:numId="25">
    <w:abstractNumId w:val="29"/>
  </w:num>
  <w:num w:numId="26">
    <w:abstractNumId w:val="34"/>
  </w:num>
  <w:num w:numId="27">
    <w:abstractNumId w:val="9"/>
  </w:num>
  <w:num w:numId="28">
    <w:abstractNumId w:val="18"/>
  </w:num>
  <w:num w:numId="29">
    <w:abstractNumId w:val="33"/>
  </w:num>
  <w:num w:numId="30">
    <w:abstractNumId w:val="25"/>
  </w:num>
  <w:num w:numId="31">
    <w:abstractNumId w:val="30"/>
  </w:num>
  <w:num w:numId="32">
    <w:abstractNumId w:val="12"/>
  </w:num>
  <w:num w:numId="33">
    <w:abstractNumId w:val="27"/>
  </w:num>
  <w:num w:numId="34">
    <w:abstractNumId w:val="10"/>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8"/>
  <w:displayBackgroundShape/>
  <w:embedSystemFonts/>
  <w:defaultTabStop w:val="720"/>
  <w:doNotHyphenateCaps/>
  <w:characterSpacingControl w:val="doNotCompress"/>
  <w:doNotValidateAgainstSchema/>
  <w:doNotDemarcateInvalidXml/>
  <w:hdrShapeDefaults>
    <o:shapedefaults v:ext="edit" spidmax="206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6D99"/>
    <w:rsid w:val="00002BD3"/>
    <w:rsid w:val="00002F7A"/>
    <w:rsid w:val="0000693C"/>
    <w:rsid w:val="00007ACD"/>
    <w:rsid w:val="00010587"/>
    <w:rsid w:val="0001076D"/>
    <w:rsid w:val="00011ACD"/>
    <w:rsid w:val="00012AD0"/>
    <w:rsid w:val="000149A5"/>
    <w:rsid w:val="00015615"/>
    <w:rsid w:val="000200D6"/>
    <w:rsid w:val="00021525"/>
    <w:rsid w:val="00021ADF"/>
    <w:rsid w:val="00021B42"/>
    <w:rsid w:val="00022633"/>
    <w:rsid w:val="0002645E"/>
    <w:rsid w:val="00027207"/>
    <w:rsid w:val="00027886"/>
    <w:rsid w:val="00027ECB"/>
    <w:rsid w:val="000335C8"/>
    <w:rsid w:val="00033F62"/>
    <w:rsid w:val="00035409"/>
    <w:rsid w:val="000357EC"/>
    <w:rsid w:val="00035DF9"/>
    <w:rsid w:val="00036D29"/>
    <w:rsid w:val="00037B15"/>
    <w:rsid w:val="00041A85"/>
    <w:rsid w:val="00043804"/>
    <w:rsid w:val="0004382D"/>
    <w:rsid w:val="0004534F"/>
    <w:rsid w:val="00046ED7"/>
    <w:rsid w:val="00047C66"/>
    <w:rsid w:val="00047E4E"/>
    <w:rsid w:val="0005028F"/>
    <w:rsid w:val="0005095E"/>
    <w:rsid w:val="00052B80"/>
    <w:rsid w:val="00052FE0"/>
    <w:rsid w:val="0005444A"/>
    <w:rsid w:val="00055885"/>
    <w:rsid w:val="00061D04"/>
    <w:rsid w:val="00062566"/>
    <w:rsid w:val="000647D2"/>
    <w:rsid w:val="00064DF6"/>
    <w:rsid w:val="000672C8"/>
    <w:rsid w:val="00067D85"/>
    <w:rsid w:val="00072340"/>
    <w:rsid w:val="000724FB"/>
    <w:rsid w:val="00072724"/>
    <w:rsid w:val="0007306E"/>
    <w:rsid w:val="00073B53"/>
    <w:rsid w:val="00074077"/>
    <w:rsid w:val="0007562F"/>
    <w:rsid w:val="00076BEC"/>
    <w:rsid w:val="00077724"/>
    <w:rsid w:val="00077941"/>
    <w:rsid w:val="000800D3"/>
    <w:rsid w:val="000824FF"/>
    <w:rsid w:val="000825EE"/>
    <w:rsid w:val="00082C6D"/>
    <w:rsid w:val="00083A4B"/>
    <w:rsid w:val="0008470E"/>
    <w:rsid w:val="000853FD"/>
    <w:rsid w:val="0008653D"/>
    <w:rsid w:val="00086BC4"/>
    <w:rsid w:val="00087BD2"/>
    <w:rsid w:val="00090B57"/>
    <w:rsid w:val="00091771"/>
    <w:rsid w:val="00091F98"/>
    <w:rsid w:val="0009370D"/>
    <w:rsid w:val="00095823"/>
    <w:rsid w:val="00095BDC"/>
    <w:rsid w:val="000962F6"/>
    <w:rsid w:val="00097162"/>
    <w:rsid w:val="000A0686"/>
    <w:rsid w:val="000A1480"/>
    <w:rsid w:val="000A1839"/>
    <w:rsid w:val="000A3EB9"/>
    <w:rsid w:val="000A3FD2"/>
    <w:rsid w:val="000A4B6D"/>
    <w:rsid w:val="000A4EDC"/>
    <w:rsid w:val="000A5048"/>
    <w:rsid w:val="000A59CC"/>
    <w:rsid w:val="000A6528"/>
    <w:rsid w:val="000A6BCD"/>
    <w:rsid w:val="000A71F8"/>
    <w:rsid w:val="000B16C6"/>
    <w:rsid w:val="000B2013"/>
    <w:rsid w:val="000B3D57"/>
    <w:rsid w:val="000B3EA4"/>
    <w:rsid w:val="000B5444"/>
    <w:rsid w:val="000B63FB"/>
    <w:rsid w:val="000B77DE"/>
    <w:rsid w:val="000C05CA"/>
    <w:rsid w:val="000C1292"/>
    <w:rsid w:val="000C1B1A"/>
    <w:rsid w:val="000C3675"/>
    <w:rsid w:val="000C3B86"/>
    <w:rsid w:val="000C59F6"/>
    <w:rsid w:val="000D02DF"/>
    <w:rsid w:val="000D1B73"/>
    <w:rsid w:val="000D209D"/>
    <w:rsid w:val="000D2256"/>
    <w:rsid w:val="000D3216"/>
    <w:rsid w:val="000D325A"/>
    <w:rsid w:val="000D33DE"/>
    <w:rsid w:val="000D3AC4"/>
    <w:rsid w:val="000D4622"/>
    <w:rsid w:val="000D4C85"/>
    <w:rsid w:val="000D6046"/>
    <w:rsid w:val="000D7760"/>
    <w:rsid w:val="000E0899"/>
    <w:rsid w:val="000E089A"/>
    <w:rsid w:val="000E091A"/>
    <w:rsid w:val="000E099E"/>
    <w:rsid w:val="000E10A0"/>
    <w:rsid w:val="000E1380"/>
    <w:rsid w:val="000E250C"/>
    <w:rsid w:val="000E2E34"/>
    <w:rsid w:val="000E3D1D"/>
    <w:rsid w:val="000E66B0"/>
    <w:rsid w:val="000E6BF8"/>
    <w:rsid w:val="000E7F01"/>
    <w:rsid w:val="000F178F"/>
    <w:rsid w:val="000F1CD5"/>
    <w:rsid w:val="000F23C9"/>
    <w:rsid w:val="000F293F"/>
    <w:rsid w:val="000F3956"/>
    <w:rsid w:val="000F3F8F"/>
    <w:rsid w:val="000F49F6"/>
    <w:rsid w:val="000F5937"/>
    <w:rsid w:val="000F5BF2"/>
    <w:rsid w:val="000F6CBD"/>
    <w:rsid w:val="00102106"/>
    <w:rsid w:val="0010257E"/>
    <w:rsid w:val="001031A3"/>
    <w:rsid w:val="0010341D"/>
    <w:rsid w:val="00106F8A"/>
    <w:rsid w:val="0010754C"/>
    <w:rsid w:val="00107972"/>
    <w:rsid w:val="001108A6"/>
    <w:rsid w:val="00112A6F"/>
    <w:rsid w:val="00112A85"/>
    <w:rsid w:val="00113319"/>
    <w:rsid w:val="00114D3A"/>
    <w:rsid w:val="00114E32"/>
    <w:rsid w:val="00117B54"/>
    <w:rsid w:val="00120C7F"/>
    <w:rsid w:val="00121247"/>
    <w:rsid w:val="00122FC6"/>
    <w:rsid w:val="00124906"/>
    <w:rsid w:val="00126F56"/>
    <w:rsid w:val="00131AC7"/>
    <w:rsid w:val="00133F92"/>
    <w:rsid w:val="0013720F"/>
    <w:rsid w:val="00141288"/>
    <w:rsid w:val="0014205F"/>
    <w:rsid w:val="00144B4A"/>
    <w:rsid w:val="00145B6E"/>
    <w:rsid w:val="00145D1F"/>
    <w:rsid w:val="00147163"/>
    <w:rsid w:val="00147276"/>
    <w:rsid w:val="001500D6"/>
    <w:rsid w:val="001503BF"/>
    <w:rsid w:val="00150AFF"/>
    <w:rsid w:val="00151C98"/>
    <w:rsid w:val="00152A97"/>
    <w:rsid w:val="0015397E"/>
    <w:rsid w:val="00153D7E"/>
    <w:rsid w:val="001547DD"/>
    <w:rsid w:val="00155C8B"/>
    <w:rsid w:val="001612BD"/>
    <w:rsid w:val="00162947"/>
    <w:rsid w:val="001638B1"/>
    <w:rsid w:val="00163A6C"/>
    <w:rsid w:val="00163A90"/>
    <w:rsid w:val="00165C87"/>
    <w:rsid w:val="00166E11"/>
    <w:rsid w:val="001675D8"/>
    <w:rsid w:val="001679E5"/>
    <w:rsid w:val="00171490"/>
    <w:rsid w:val="00173FDE"/>
    <w:rsid w:val="0017586A"/>
    <w:rsid w:val="001774B3"/>
    <w:rsid w:val="00181D07"/>
    <w:rsid w:val="00181DD9"/>
    <w:rsid w:val="00182830"/>
    <w:rsid w:val="001829BE"/>
    <w:rsid w:val="00184860"/>
    <w:rsid w:val="00184F59"/>
    <w:rsid w:val="00187146"/>
    <w:rsid w:val="001874DD"/>
    <w:rsid w:val="00192A75"/>
    <w:rsid w:val="001931EC"/>
    <w:rsid w:val="00193E93"/>
    <w:rsid w:val="00194242"/>
    <w:rsid w:val="001955A1"/>
    <w:rsid w:val="00196DF6"/>
    <w:rsid w:val="0019709E"/>
    <w:rsid w:val="00197363"/>
    <w:rsid w:val="001976D2"/>
    <w:rsid w:val="001A07CE"/>
    <w:rsid w:val="001A261D"/>
    <w:rsid w:val="001A3992"/>
    <w:rsid w:val="001A48B2"/>
    <w:rsid w:val="001A4AB5"/>
    <w:rsid w:val="001A5488"/>
    <w:rsid w:val="001A65B6"/>
    <w:rsid w:val="001A6797"/>
    <w:rsid w:val="001A7603"/>
    <w:rsid w:val="001B061C"/>
    <w:rsid w:val="001B0E50"/>
    <w:rsid w:val="001B1531"/>
    <w:rsid w:val="001B20FC"/>
    <w:rsid w:val="001B545B"/>
    <w:rsid w:val="001B575A"/>
    <w:rsid w:val="001B58C2"/>
    <w:rsid w:val="001B71AF"/>
    <w:rsid w:val="001B74A8"/>
    <w:rsid w:val="001B7597"/>
    <w:rsid w:val="001C1FAB"/>
    <w:rsid w:val="001C2BE0"/>
    <w:rsid w:val="001C3129"/>
    <w:rsid w:val="001C3E0D"/>
    <w:rsid w:val="001C413B"/>
    <w:rsid w:val="001C4751"/>
    <w:rsid w:val="001C6F66"/>
    <w:rsid w:val="001C733D"/>
    <w:rsid w:val="001C7821"/>
    <w:rsid w:val="001D01E5"/>
    <w:rsid w:val="001D0F87"/>
    <w:rsid w:val="001D1CE4"/>
    <w:rsid w:val="001D30FA"/>
    <w:rsid w:val="001D5C08"/>
    <w:rsid w:val="001D7CD0"/>
    <w:rsid w:val="001E09C8"/>
    <w:rsid w:val="001E119E"/>
    <w:rsid w:val="001E1332"/>
    <w:rsid w:val="001E1ACF"/>
    <w:rsid w:val="001E256D"/>
    <w:rsid w:val="001E3DD4"/>
    <w:rsid w:val="001E40FD"/>
    <w:rsid w:val="001E4BEF"/>
    <w:rsid w:val="001E6B41"/>
    <w:rsid w:val="001E6EC2"/>
    <w:rsid w:val="001E7369"/>
    <w:rsid w:val="001E7457"/>
    <w:rsid w:val="001F167F"/>
    <w:rsid w:val="001F331C"/>
    <w:rsid w:val="001F3C19"/>
    <w:rsid w:val="001F4691"/>
    <w:rsid w:val="001F4F48"/>
    <w:rsid w:val="001F6E4A"/>
    <w:rsid w:val="00200C33"/>
    <w:rsid w:val="00200FA8"/>
    <w:rsid w:val="00203FD7"/>
    <w:rsid w:val="0020403F"/>
    <w:rsid w:val="00204201"/>
    <w:rsid w:val="00206F71"/>
    <w:rsid w:val="00210F37"/>
    <w:rsid w:val="0021292E"/>
    <w:rsid w:val="00216107"/>
    <w:rsid w:val="00216F2C"/>
    <w:rsid w:val="0021729B"/>
    <w:rsid w:val="00217EC7"/>
    <w:rsid w:val="00221069"/>
    <w:rsid w:val="0022374D"/>
    <w:rsid w:val="00223960"/>
    <w:rsid w:val="00224ECF"/>
    <w:rsid w:val="0023026B"/>
    <w:rsid w:val="002317D2"/>
    <w:rsid w:val="00231D3D"/>
    <w:rsid w:val="00231EEE"/>
    <w:rsid w:val="002324DD"/>
    <w:rsid w:val="00232C3F"/>
    <w:rsid w:val="00233288"/>
    <w:rsid w:val="00241063"/>
    <w:rsid w:val="002416B5"/>
    <w:rsid w:val="00243EED"/>
    <w:rsid w:val="00245054"/>
    <w:rsid w:val="002471CF"/>
    <w:rsid w:val="0025171B"/>
    <w:rsid w:val="00253802"/>
    <w:rsid w:val="00254C1E"/>
    <w:rsid w:val="00255A89"/>
    <w:rsid w:val="00257713"/>
    <w:rsid w:val="00260382"/>
    <w:rsid w:val="00260D63"/>
    <w:rsid w:val="0026121B"/>
    <w:rsid w:val="00261F1F"/>
    <w:rsid w:val="00266F4A"/>
    <w:rsid w:val="00267E5A"/>
    <w:rsid w:val="00270FCF"/>
    <w:rsid w:val="002711D4"/>
    <w:rsid w:val="0027121B"/>
    <w:rsid w:val="00274E8B"/>
    <w:rsid w:val="00275767"/>
    <w:rsid w:val="00277D10"/>
    <w:rsid w:val="002806A6"/>
    <w:rsid w:val="00280CF4"/>
    <w:rsid w:val="002820ED"/>
    <w:rsid w:val="00282937"/>
    <w:rsid w:val="00282EE8"/>
    <w:rsid w:val="002852D7"/>
    <w:rsid w:val="0028614B"/>
    <w:rsid w:val="002862D1"/>
    <w:rsid w:val="002869C1"/>
    <w:rsid w:val="00290E5F"/>
    <w:rsid w:val="00291F4C"/>
    <w:rsid w:val="00291F51"/>
    <w:rsid w:val="002954E4"/>
    <w:rsid w:val="0029711D"/>
    <w:rsid w:val="002A1308"/>
    <w:rsid w:val="002A3198"/>
    <w:rsid w:val="002A3AEB"/>
    <w:rsid w:val="002A3D37"/>
    <w:rsid w:val="002A4689"/>
    <w:rsid w:val="002A47F1"/>
    <w:rsid w:val="002A60E5"/>
    <w:rsid w:val="002B1D29"/>
    <w:rsid w:val="002B217E"/>
    <w:rsid w:val="002B21C0"/>
    <w:rsid w:val="002C54EB"/>
    <w:rsid w:val="002C67B2"/>
    <w:rsid w:val="002D082D"/>
    <w:rsid w:val="002D25BA"/>
    <w:rsid w:val="002D3615"/>
    <w:rsid w:val="002D3A36"/>
    <w:rsid w:val="002D40C6"/>
    <w:rsid w:val="002D4300"/>
    <w:rsid w:val="002D64DE"/>
    <w:rsid w:val="002D6E6B"/>
    <w:rsid w:val="002D7596"/>
    <w:rsid w:val="002D77E2"/>
    <w:rsid w:val="002E0092"/>
    <w:rsid w:val="002E0670"/>
    <w:rsid w:val="002E0C1B"/>
    <w:rsid w:val="002E0E23"/>
    <w:rsid w:val="002E1889"/>
    <w:rsid w:val="002E1960"/>
    <w:rsid w:val="002E35E2"/>
    <w:rsid w:val="002E503B"/>
    <w:rsid w:val="002E515D"/>
    <w:rsid w:val="002F0A4D"/>
    <w:rsid w:val="002F0D55"/>
    <w:rsid w:val="002F1408"/>
    <w:rsid w:val="002F2EF9"/>
    <w:rsid w:val="002F363B"/>
    <w:rsid w:val="002F37B1"/>
    <w:rsid w:val="002F4FAB"/>
    <w:rsid w:val="002F5654"/>
    <w:rsid w:val="002F579B"/>
    <w:rsid w:val="002F65B7"/>
    <w:rsid w:val="002F750A"/>
    <w:rsid w:val="002F7DA0"/>
    <w:rsid w:val="0030077B"/>
    <w:rsid w:val="00302122"/>
    <w:rsid w:val="0030247F"/>
    <w:rsid w:val="003024AA"/>
    <w:rsid w:val="00303484"/>
    <w:rsid w:val="00304583"/>
    <w:rsid w:val="0030465E"/>
    <w:rsid w:val="0030576B"/>
    <w:rsid w:val="00306B29"/>
    <w:rsid w:val="00310735"/>
    <w:rsid w:val="00311713"/>
    <w:rsid w:val="00311FB4"/>
    <w:rsid w:val="00315CF1"/>
    <w:rsid w:val="00317424"/>
    <w:rsid w:val="003259F1"/>
    <w:rsid w:val="003265A9"/>
    <w:rsid w:val="0032695E"/>
    <w:rsid w:val="00330C1F"/>
    <w:rsid w:val="00332438"/>
    <w:rsid w:val="00334000"/>
    <w:rsid w:val="00334D5F"/>
    <w:rsid w:val="003362CA"/>
    <w:rsid w:val="00336B8F"/>
    <w:rsid w:val="00336C97"/>
    <w:rsid w:val="00340136"/>
    <w:rsid w:val="00341C62"/>
    <w:rsid w:val="00342916"/>
    <w:rsid w:val="00345AF8"/>
    <w:rsid w:val="00345D1A"/>
    <w:rsid w:val="00345D4B"/>
    <w:rsid w:val="003460CC"/>
    <w:rsid w:val="0034638E"/>
    <w:rsid w:val="00347254"/>
    <w:rsid w:val="00347701"/>
    <w:rsid w:val="0034784B"/>
    <w:rsid w:val="00347C53"/>
    <w:rsid w:val="00347F25"/>
    <w:rsid w:val="003500A2"/>
    <w:rsid w:val="00350609"/>
    <w:rsid w:val="0035074F"/>
    <w:rsid w:val="00350CB1"/>
    <w:rsid w:val="00351271"/>
    <w:rsid w:val="00351A65"/>
    <w:rsid w:val="0035280B"/>
    <w:rsid w:val="003538B7"/>
    <w:rsid w:val="00355426"/>
    <w:rsid w:val="00356DA1"/>
    <w:rsid w:val="00360B95"/>
    <w:rsid w:val="0036128D"/>
    <w:rsid w:val="00361C4E"/>
    <w:rsid w:val="00362471"/>
    <w:rsid w:val="00362A6A"/>
    <w:rsid w:val="00364FE8"/>
    <w:rsid w:val="0036637C"/>
    <w:rsid w:val="00367CE2"/>
    <w:rsid w:val="00370DFE"/>
    <w:rsid w:val="00371CF3"/>
    <w:rsid w:val="00371DA1"/>
    <w:rsid w:val="00371EE5"/>
    <w:rsid w:val="00374B53"/>
    <w:rsid w:val="00374E09"/>
    <w:rsid w:val="003757CC"/>
    <w:rsid w:val="003758C4"/>
    <w:rsid w:val="00376763"/>
    <w:rsid w:val="00377841"/>
    <w:rsid w:val="00380CA5"/>
    <w:rsid w:val="003812C8"/>
    <w:rsid w:val="00382116"/>
    <w:rsid w:val="00382841"/>
    <w:rsid w:val="0038454A"/>
    <w:rsid w:val="00385EAE"/>
    <w:rsid w:val="003867B6"/>
    <w:rsid w:val="00387579"/>
    <w:rsid w:val="003915FA"/>
    <w:rsid w:val="00391F29"/>
    <w:rsid w:val="003933BD"/>
    <w:rsid w:val="00394103"/>
    <w:rsid w:val="00394D9A"/>
    <w:rsid w:val="00394EA4"/>
    <w:rsid w:val="003953EF"/>
    <w:rsid w:val="00395834"/>
    <w:rsid w:val="003964C4"/>
    <w:rsid w:val="003964C9"/>
    <w:rsid w:val="00397520"/>
    <w:rsid w:val="003A0803"/>
    <w:rsid w:val="003A530A"/>
    <w:rsid w:val="003A62D0"/>
    <w:rsid w:val="003A7718"/>
    <w:rsid w:val="003B1512"/>
    <w:rsid w:val="003B2D5F"/>
    <w:rsid w:val="003B3062"/>
    <w:rsid w:val="003B317A"/>
    <w:rsid w:val="003B32ED"/>
    <w:rsid w:val="003B3E2D"/>
    <w:rsid w:val="003B4B55"/>
    <w:rsid w:val="003C2EB7"/>
    <w:rsid w:val="003C3C93"/>
    <w:rsid w:val="003C6B40"/>
    <w:rsid w:val="003C75B2"/>
    <w:rsid w:val="003D1532"/>
    <w:rsid w:val="003D1754"/>
    <w:rsid w:val="003D1B6D"/>
    <w:rsid w:val="003D323E"/>
    <w:rsid w:val="003D3598"/>
    <w:rsid w:val="003D37D7"/>
    <w:rsid w:val="003D3FC0"/>
    <w:rsid w:val="003D5244"/>
    <w:rsid w:val="003D5276"/>
    <w:rsid w:val="003D5A1F"/>
    <w:rsid w:val="003D5A59"/>
    <w:rsid w:val="003D5C91"/>
    <w:rsid w:val="003D6A2F"/>
    <w:rsid w:val="003E16ED"/>
    <w:rsid w:val="003E19BC"/>
    <w:rsid w:val="003E1E86"/>
    <w:rsid w:val="003E2745"/>
    <w:rsid w:val="003E2871"/>
    <w:rsid w:val="003E28FD"/>
    <w:rsid w:val="003E2C6B"/>
    <w:rsid w:val="003E2DFF"/>
    <w:rsid w:val="003E347E"/>
    <w:rsid w:val="003E391D"/>
    <w:rsid w:val="003E5355"/>
    <w:rsid w:val="003E571B"/>
    <w:rsid w:val="003E5D02"/>
    <w:rsid w:val="003E609E"/>
    <w:rsid w:val="003F0236"/>
    <w:rsid w:val="003F0592"/>
    <w:rsid w:val="003F21A8"/>
    <w:rsid w:val="003F2CA1"/>
    <w:rsid w:val="003F3035"/>
    <w:rsid w:val="003F3D85"/>
    <w:rsid w:val="003F71F1"/>
    <w:rsid w:val="004002ED"/>
    <w:rsid w:val="00400B64"/>
    <w:rsid w:val="004014A8"/>
    <w:rsid w:val="00401584"/>
    <w:rsid w:val="004018B9"/>
    <w:rsid w:val="00401C03"/>
    <w:rsid w:val="00401D66"/>
    <w:rsid w:val="00402B41"/>
    <w:rsid w:val="0040321D"/>
    <w:rsid w:val="00407527"/>
    <w:rsid w:val="004105C3"/>
    <w:rsid w:val="00410BC7"/>
    <w:rsid w:val="00410F02"/>
    <w:rsid w:val="00412E7F"/>
    <w:rsid w:val="0041310A"/>
    <w:rsid w:val="00413826"/>
    <w:rsid w:val="00413BBF"/>
    <w:rsid w:val="00413E04"/>
    <w:rsid w:val="00414069"/>
    <w:rsid w:val="00414537"/>
    <w:rsid w:val="004145C0"/>
    <w:rsid w:val="00414BD0"/>
    <w:rsid w:val="00415804"/>
    <w:rsid w:val="00420A1D"/>
    <w:rsid w:val="00420F4E"/>
    <w:rsid w:val="00424E8D"/>
    <w:rsid w:val="0043214B"/>
    <w:rsid w:val="00432A6C"/>
    <w:rsid w:val="0043322B"/>
    <w:rsid w:val="00433876"/>
    <w:rsid w:val="0043387F"/>
    <w:rsid w:val="00435209"/>
    <w:rsid w:val="00435B18"/>
    <w:rsid w:val="00437BA6"/>
    <w:rsid w:val="00440254"/>
    <w:rsid w:val="00440D6E"/>
    <w:rsid w:val="004427AD"/>
    <w:rsid w:val="00442AF2"/>
    <w:rsid w:val="004444B8"/>
    <w:rsid w:val="0044496A"/>
    <w:rsid w:val="004470C2"/>
    <w:rsid w:val="00450017"/>
    <w:rsid w:val="004519F5"/>
    <w:rsid w:val="0045451D"/>
    <w:rsid w:val="004549FD"/>
    <w:rsid w:val="004553FE"/>
    <w:rsid w:val="0045599A"/>
    <w:rsid w:val="0045687B"/>
    <w:rsid w:val="00460DBB"/>
    <w:rsid w:val="0046105C"/>
    <w:rsid w:val="0046299E"/>
    <w:rsid w:val="00465553"/>
    <w:rsid w:val="004655C3"/>
    <w:rsid w:val="00465FB7"/>
    <w:rsid w:val="00467524"/>
    <w:rsid w:val="00470A23"/>
    <w:rsid w:val="004743D0"/>
    <w:rsid w:val="00475580"/>
    <w:rsid w:val="00476059"/>
    <w:rsid w:val="00477F56"/>
    <w:rsid w:val="004803B2"/>
    <w:rsid w:val="00480D10"/>
    <w:rsid w:val="004848D0"/>
    <w:rsid w:val="00485695"/>
    <w:rsid w:val="004860BD"/>
    <w:rsid w:val="0048685F"/>
    <w:rsid w:val="00486A84"/>
    <w:rsid w:val="00487E49"/>
    <w:rsid w:val="00490443"/>
    <w:rsid w:val="0049147B"/>
    <w:rsid w:val="004914C5"/>
    <w:rsid w:val="004916B2"/>
    <w:rsid w:val="00491B10"/>
    <w:rsid w:val="00492BD0"/>
    <w:rsid w:val="004936C0"/>
    <w:rsid w:val="004937C8"/>
    <w:rsid w:val="00494BA6"/>
    <w:rsid w:val="0049511D"/>
    <w:rsid w:val="00495E8B"/>
    <w:rsid w:val="004A3996"/>
    <w:rsid w:val="004A3F50"/>
    <w:rsid w:val="004A6299"/>
    <w:rsid w:val="004A75EF"/>
    <w:rsid w:val="004A7D5B"/>
    <w:rsid w:val="004B01FE"/>
    <w:rsid w:val="004B1425"/>
    <w:rsid w:val="004B17B7"/>
    <w:rsid w:val="004B2392"/>
    <w:rsid w:val="004B2E3E"/>
    <w:rsid w:val="004B5E24"/>
    <w:rsid w:val="004C0BA1"/>
    <w:rsid w:val="004C0BD9"/>
    <w:rsid w:val="004C1F92"/>
    <w:rsid w:val="004C2201"/>
    <w:rsid w:val="004C370A"/>
    <w:rsid w:val="004C5F05"/>
    <w:rsid w:val="004D0F46"/>
    <w:rsid w:val="004D393C"/>
    <w:rsid w:val="004D3E2C"/>
    <w:rsid w:val="004D49CD"/>
    <w:rsid w:val="004D558C"/>
    <w:rsid w:val="004D7F66"/>
    <w:rsid w:val="004E02EC"/>
    <w:rsid w:val="004E2019"/>
    <w:rsid w:val="004E267B"/>
    <w:rsid w:val="004E27F6"/>
    <w:rsid w:val="004E5301"/>
    <w:rsid w:val="004E6E03"/>
    <w:rsid w:val="004E7C43"/>
    <w:rsid w:val="004F1C9F"/>
    <w:rsid w:val="004F264E"/>
    <w:rsid w:val="004F2CC1"/>
    <w:rsid w:val="004F3334"/>
    <w:rsid w:val="004F4FD9"/>
    <w:rsid w:val="004F5F55"/>
    <w:rsid w:val="004F67AE"/>
    <w:rsid w:val="004F7020"/>
    <w:rsid w:val="004F7267"/>
    <w:rsid w:val="005004FA"/>
    <w:rsid w:val="00500FED"/>
    <w:rsid w:val="0050264B"/>
    <w:rsid w:val="005049E0"/>
    <w:rsid w:val="005049F8"/>
    <w:rsid w:val="0050627B"/>
    <w:rsid w:val="00507533"/>
    <w:rsid w:val="0050753A"/>
    <w:rsid w:val="00507AC2"/>
    <w:rsid w:val="00510574"/>
    <w:rsid w:val="00511516"/>
    <w:rsid w:val="00512473"/>
    <w:rsid w:val="00515AE4"/>
    <w:rsid w:val="0051625A"/>
    <w:rsid w:val="005164BF"/>
    <w:rsid w:val="00516FC6"/>
    <w:rsid w:val="00517554"/>
    <w:rsid w:val="00521279"/>
    <w:rsid w:val="00521FB3"/>
    <w:rsid w:val="00523192"/>
    <w:rsid w:val="005242D7"/>
    <w:rsid w:val="005246BE"/>
    <w:rsid w:val="005265F6"/>
    <w:rsid w:val="00530054"/>
    <w:rsid w:val="00530AB9"/>
    <w:rsid w:val="00533849"/>
    <w:rsid w:val="005347BE"/>
    <w:rsid w:val="005356C0"/>
    <w:rsid w:val="00535C22"/>
    <w:rsid w:val="0053748F"/>
    <w:rsid w:val="00540FD4"/>
    <w:rsid w:val="0054183A"/>
    <w:rsid w:val="0054291C"/>
    <w:rsid w:val="0054407B"/>
    <w:rsid w:val="0054435F"/>
    <w:rsid w:val="00551F2F"/>
    <w:rsid w:val="00552247"/>
    <w:rsid w:val="005543EA"/>
    <w:rsid w:val="005546E1"/>
    <w:rsid w:val="0055484D"/>
    <w:rsid w:val="005548D4"/>
    <w:rsid w:val="00555B6C"/>
    <w:rsid w:val="00556179"/>
    <w:rsid w:val="0055661A"/>
    <w:rsid w:val="00556E8D"/>
    <w:rsid w:val="005601AA"/>
    <w:rsid w:val="005606B3"/>
    <w:rsid w:val="005607BF"/>
    <w:rsid w:val="005608BF"/>
    <w:rsid w:val="005623D4"/>
    <w:rsid w:val="00562FC2"/>
    <w:rsid w:val="00563553"/>
    <w:rsid w:val="0056628A"/>
    <w:rsid w:val="00566566"/>
    <w:rsid w:val="005665B1"/>
    <w:rsid w:val="00567D99"/>
    <w:rsid w:val="005708AD"/>
    <w:rsid w:val="00570F77"/>
    <w:rsid w:val="00573799"/>
    <w:rsid w:val="00573B7B"/>
    <w:rsid w:val="00574662"/>
    <w:rsid w:val="00574943"/>
    <w:rsid w:val="005760CC"/>
    <w:rsid w:val="00577444"/>
    <w:rsid w:val="00577A4D"/>
    <w:rsid w:val="00577CAF"/>
    <w:rsid w:val="00581DAE"/>
    <w:rsid w:val="005843B3"/>
    <w:rsid w:val="00584C27"/>
    <w:rsid w:val="005855E9"/>
    <w:rsid w:val="00586167"/>
    <w:rsid w:val="00586CB8"/>
    <w:rsid w:val="00586FA9"/>
    <w:rsid w:val="0058760F"/>
    <w:rsid w:val="00592E9F"/>
    <w:rsid w:val="00595158"/>
    <w:rsid w:val="005958B6"/>
    <w:rsid w:val="00596924"/>
    <w:rsid w:val="00596B56"/>
    <w:rsid w:val="005A1BF0"/>
    <w:rsid w:val="005A3A12"/>
    <w:rsid w:val="005A4042"/>
    <w:rsid w:val="005A44E9"/>
    <w:rsid w:val="005A4944"/>
    <w:rsid w:val="005A4CE4"/>
    <w:rsid w:val="005A528E"/>
    <w:rsid w:val="005A58CF"/>
    <w:rsid w:val="005A5961"/>
    <w:rsid w:val="005A5ACD"/>
    <w:rsid w:val="005A5E83"/>
    <w:rsid w:val="005A65EB"/>
    <w:rsid w:val="005A6E27"/>
    <w:rsid w:val="005B1758"/>
    <w:rsid w:val="005B1E51"/>
    <w:rsid w:val="005B2327"/>
    <w:rsid w:val="005B37EF"/>
    <w:rsid w:val="005B539C"/>
    <w:rsid w:val="005B5661"/>
    <w:rsid w:val="005B5DEA"/>
    <w:rsid w:val="005B75D9"/>
    <w:rsid w:val="005B7E6C"/>
    <w:rsid w:val="005C06E7"/>
    <w:rsid w:val="005C3901"/>
    <w:rsid w:val="005C47CA"/>
    <w:rsid w:val="005C580D"/>
    <w:rsid w:val="005C5E6D"/>
    <w:rsid w:val="005C6E66"/>
    <w:rsid w:val="005C7E2D"/>
    <w:rsid w:val="005D100E"/>
    <w:rsid w:val="005D2475"/>
    <w:rsid w:val="005D36F0"/>
    <w:rsid w:val="005D556B"/>
    <w:rsid w:val="005D5B15"/>
    <w:rsid w:val="005D7570"/>
    <w:rsid w:val="005D75C4"/>
    <w:rsid w:val="005D78A3"/>
    <w:rsid w:val="005E1BF3"/>
    <w:rsid w:val="005E24EC"/>
    <w:rsid w:val="005E26DC"/>
    <w:rsid w:val="005E34FA"/>
    <w:rsid w:val="005E37B7"/>
    <w:rsid w:val="005E3CA5"/>
    <w:rsid w:val="005E3D7B"/>
    <w:rsid w:val="005E558F"/>
    <w:rsid w:val="005E58BB"/>
    <w:rsid w:val="005E61DF"/>
    <w:rsid w:val="005E66A3"/>
    <w:rsid w:val="005E6CA2"/>
    <w:rsid w:val="005E75F1"/>
    <w:rsid w:val="005F1A97"/>
    <w:rsid w:val="005F380A"/>
    <w:rsid w:val="005F47EF"/>
    <w:rsid w:val="005F6CAD"/>
    <w:rsid w:val="005F7E07"/>
    <w:rsid w:val="005F7EEA"/>
    <w:rsid w:val="0060184E"/>
    <w:rsid w:val="00601AFF"/>
    <w:rsid w:val="00602F2F"/>
    <w:rsid w:val="0060441A"/>
    <w:rsid w:val="00604757"/>
    <w:rsid w:val="006047E0"/>
    <w:rsid w:val="00604AA2"/>
    <w:rsid w:val="00604B30"/>
    <w:rsid w:val="00605ACF"/>
    <w:rsid w:val="006072FB"/>
    <w:rsid w:val="006079F4"/>
    <w:rsid w:val="00607E9F"/>
    <w:rsid w:val="00610352"/>
    <w:rsid w:val="00610480"/>
    <w:rsid w:val="006108FD"/>
    <w:rsid w:val="00612637"/>
    <w:rsid w:val="00617BFE"/>
    <w:rsid w:val="00622837"/>
    <w:rsid w:val="00623435"/>
    <w:rsid w:val="00623EA1"/>
    <w:rsid w:val="00624973"/>
    <w:rsid w:val="006251EF"/>
    <w:rsid w:val="00626C9E"/>
    <w:rsid w:val="00627BF4"/>
    <w:rsid w:val="00631C9E"/>
    <w:rsid w:val="00631E24"/>
    <w:rsid w:val="00632B05"/>
    <w:rsid w:val="00634444"/>
    <w:rsid w:val="00634DFB"/>
    <w:rsid w:val="00634FAE"/>
    <w:rsid w:val="006358C5"/>
    <w:rsid w:val="00635AA9"/>
    <w:rsid w:val="006402C9"/>
    <w:rsid w:val="00640FFD"/>
    <w:rsid w:val="00641B91"/>
    <w:rsid w:val="00641F19"/>
    <w:rsid w:val="00642CD1"/>
    <w:rsid w:val="006431B0"/>
    <w:rsid w:val="00643E8C"/>
    <w:rsid w:val="00643F01"/>
    <w:rsid w:val="00645070"/>
    <w:rsid w:val="00645F28"/>
    <w:rsid w:val="006502E1"/>
    <w:rsid w:val="00653C97"/>
    <w:rsid w:val="00653E46"/>
    <w:rsid w:val="006573D0"/>
    <w:rsid w:val="006619CD"/>
    <w:rsid w:val="00663373"/>
    <w:rsid w:val="00663945"/>
    <w:rsid w:val="00663B0F"/>
    <w:rsid w:val="00663C84"/>
    <w:rsid w:val="00664031"/>
    <w:rsid w:val="00664A90"/>
    <w:rsid w:val="00666A4F"/>
    <w:rsid w:val="0066771E"/>
    <w:rsid w:val="00673651"/>
    <w:rsid w:val="00673B17"/>
    <w:rsid w:val="00674064"/>
    <w:rsid w:val="00674163"/>
    <w:rsid w:val="0067466A"/>
    <w:rsid w:val="00674E7D"/>
    <w:rsid w:val="006810B9"/>
    <w:rsid w:val="00682FDE"/>
    <w:rsid w:val="006832CB"/>
    <w:rsid w:val="00683D15"/>
    <w:rsid w:val="00684CC6"/>
    <w:rsid w:val="00685624"/>
    <w:rsid w:val="006861A6"/>
    <w:rsid w:val="006863BC"/>
    <w:rsid w:val="00686CA8"/>
    <w:rsid w:val="00687792"/>
    <w:rsid w:val="00691737"/>
    <w:rsid w:val="00691EED"/>
    <w:rsid w:val="006925B2"/>
    <w:rsid w:val="00692E22"/>
    <w:rsid w:val="0069428A"/>
    <w:rsid w:val="00694A90"/>
    <w:rsid w:val="00694AA1"/>
    <w:rsid w:val="00695318"/>
    <w:rsid w:val="00696BAD"/>
    <w:rsid w:val="006A1AE3"/>
    <w:rsid w:val="006A1BC4"/>
    <w:rsid w:val="006A2EA7"/>
    <w:rsid w:val="006A4115"/>
    <w:rsid w:val="006A6562"/>
    <w:rsid w:val="006A694D"/>
    <w:rsid w:val="006A7ED6"/>
    <w:rsid w:val="006B0607"/>
    <w:rsid w:val="006B0A6D"/>
    <w:rsid w:val="006B0C2D"/>
    <w:rsid w:val="006B14EF"/>
    <w:rsid w:val="006B1704"/>
    <w:rsid w:val="006B3AF4"/>
    <w:rsid w:val="006B4C5C"/>
    <w:rsid w:val="006B6614"/>
    <w:rsid w:val="006B731A"/>
    <w:rsid w:val="006C1DBC"/>
    <w:rsid w:val="006C3265"/>
    <w:rsid w:val="006C35A7"/>
    <w:rsid w:val="006C40B2"/>
    <w:rsid w:val="006C4488"/>
    <w:rsid w:val="006C507F"/>
    <w:rsid w:val="006C567B"/>
    <w:rsid w:val="006C5747"/>
    <w:rsid w:val="006C576E"/>
    <w:rsid w:val="006C5986"/>
    <w:rsid w:val="006C6288"/>
    <w:rsid w:val="006C644C"/>
    <w:rsid w:val="006C7DB8"/>
    <w:rsid w:val="006C7DFF"/>
    <w:rsid w:val="006D0155"/>
    <w:rsid w:val="006D036F"/>
    <w:rsid w:val="006D0863"/>
    <w:rsid w:val="006D0982"/>
    <w:rsid w:val="006D0DEF"/>
    <w:rsid w:val="006D19D3"/>
    <w:rsid w:val="006D4939"/>
    <w:rsid w:val="006D49C8"/>
    <w:rsid w:val="006D4BE5"/>
    <w:rsid w:val="006D50CC"/>
    <w:rsid w:val="006D5FFE"/>
    <w:rsid w:val="006D783A"/>
    <w:rsid w:val="006E069F"/>
    <w:rsid w:val="006E1599"/>
    <w:rsid w:val="006E196A"/>
    <w:rsid w:val="006E1F59"/>
    <w:rsid w:val="006E463F"/>
    <w:rsid w:val="006E4CB7"/>
    <w:rsid w:val="006E54E0"/>
    <w:rsid w:val="006E5CBC"/>
    <w:rsid w:val="006E663C"/>
    <w:rsid w:val="006E68EC"/>
    <w:rsid w:val="006E6A81"/>
    <w:rsid w:val="006E7F88"/>
    <w:rsid w:val="006F0F49"/>
    <w:rsid w:val="006F1877"/>
    <w:rsid w:val="006F1A41"/>
    <w:rsid w:val="006F20A2"/>
    <w:rsid w:val="006F24ED"/>
    <w:rsid w:val="006F29CC"/>
    <w:rsid w:val="006F2ABD"/>
    <w:rsid w:val="006F2CE3"/>
    <w:rsid w:val="006F4212"/>
    <w:rsid w:val="006F6F85"/>
    <w:rsid w:val="006F7F07"/>
    <w:rsid w:val="00700AC7"/>
    <w:rsid w:val="00700DEE"/>
    <w:rsid w:val="00700E2A"/>
    <w:rsid w:val="00701322"/>
    <w:rsid w:val="00701B6A"/>
    <w:rsid w:val="0070398D"/>
    <w:rsid w:val="0070447F"/>
    <w:rsid w:val="00705251"/>
    <w:rsid w:val="007079A2"/>
    <w:rsid w:val="007079BF"/>
    <w:rsid w:val="00710BFF"/>
    <w:rsid w:val="00710CE6"/>
    <w:rsid w:val="0071190C"/>
    <w:rsid w:val="00712DDA"/>
    <w:rsid w:val="00712EFC"/>
    <w:rsid w:val="007132FE"/>
    <w:rsid w:val="00713D13"/>
    <w:rsid w:val="007142CE"/>
    <w:rsid w:val="00714A47"/>
    <w:rsid w:val="00715F12"/>
    <w:rsid w:val="0071654D"/>
    <w:rsid w:val="007170AE"/>
    <w:rsid w:val="007173F9"/>
    <w:rsid w:val="00717A89"/>
    <w:rsid w:val="00720293"/>
    <w:rsid w:val="00721C77"/>
    <w:rsid w:val="007229B5"/>
    <w:rsid w:val="00722EF6"/>
    <w:rsid w:val="007231AD"/>
    <w:rsid w:val="007246E2"/>
    <w:rsid w:val="00725D60"/>
    <w:rsid w:val="00726D38"/>
    <w:rsid w:val="00727135"/>
    <w:rsid w:val="00727797"/>
    <w:rsid w:val="007306E4"/>
    <w:rsid w:val="007309C8"/>
    <w:rsid w:val="00733AF3"/>
    <w:rsid w:val="00733F79"/>
    <w:rsid w:val="007340B4"/>
    <w:rsid w:val="00734A5A"/>
    <w:rsid w:val="00735336"/>
    <w:rsid w:val="0074001F"/>
    <w:rsid w:val="00740568"/>
    <w:rsid w:val="0074132E"/>
    <w:rsid w:val="00744BBA"/>
    <w:rsid w:val="007450A9"/>
    <w:rsid w:val="007454A5"/>
    <w:rsid w:val="007469F5"/>
    <w:rsid w:val="00746B52"/>
    <w:rsid w:val="00746D07"/>
    <w:rsid w:val="0075101E"/>
    <w:rsid w:val="00753159"/>
    <w:rsid w:val="00754984"/>
    <w:rsid w:val="00755413"/>
    <w:rsid w:val="00755B3D"/>
    <w:rsid w:val="00755E3E"/>
    <w:rsid w:val="007562A2"/>
    <w:rsid w:val="007579A8"/>
    <w:rsid w:val="00757E72"/>
    <w:rsid w:val="007608B9"/>
    <w:rsid w:val="00760FCD"/>
    <w:rsid w:val="0076116F"/>
    <w:rsid w:val="00761EC6"/>
    <w:rsid w:val="007621EC"/>
    <w:rsid w:val="00762EEE"/>
    <w:rsid w:val="0076708D"/>
    <w:rsid w:val="00767A38"/>
    <w:rsid w:val="00767BE1"/>
    <w:rsid w:val="00770359"/>
    <w:rsid w:val="0077064C"/>
    <w:rsid w:val="00771CB7"/>
    <w:rsid w:val="007738B8"/>
    <w:rsid w:val="00775294"/>
    <w:rsid w:val="00775BE6"/>
    <w:rsid w:val="00777F04"/>
    <w:rsid w:val="007809CA"/>
    <w:rsid w:val="00780E01"/>
    <w:rsid w:val="00781AF6"/>
    <w:rsid w:val="00782744"/>
    <w:rsid w:val="007829DB"/>
    <w:rsid w:val="007835EB"/>
    <w:rsid w:val="007849EA"/>
    <w:rsid w:val="00785CC4"/>
    <w:rsid w:val="007865CE"/>
    <w:rsid w:val="0078666D"/>
    <w:rsid w:val="00792E7E"/>
    <w:rsid w:val="0079359C"/>
    <w:rsid w:val="00794CE3"/>
    <w:rsid w:val="0079760D"/>
    <w:rsid w:val="007A1AE2"/>
    <w:rsid w:val="007A24C6"/>
    <w:rsid w:val="007A2FC6"/>
    <w:rsid w:val="007A31AE"/>
    <w:rsid w:val="007A3BB2"/>
    <w:rsid w:val="007A3D0F"/>
    <w:rsid w:val="007A5F6B"/>
    <w:rsid w:val="007A6707"/>
    <w:rsid w:val="007B08A3"/>
    <w:rsid w:val="007B68A4"/>
    <w:rsid w:val="007B740E"/>
    <w:rsid w:val="007B74B0"/>
    <w:rsid w:val="007C08E9"/>
    <w:rsid w:val="007C1093"/>
    <w:rsid w:val="007C3047"/>
    <w:rsid w:val="007C3D12"/>
    <w:rsid w:val="007C59A7"/>
    <w:rsid w:val="007C669D"/>
    <w:rsid w:val="007C7711"/>
    <w:rsid w:val="007C7731"/>
    <w:rsid w:val="007D1AF5"/>
    <w:rsid w:val="007D2E18"/>
    <w:rsid w:val="007D2FFA"/>
    <w:rsid w:val="007D3261"/>
    <w:rsid w:val="007D40A7"/>
    <w:rsid w:val="007D4BC4"/>
    <w:rsid w:val="007D5B32"/>
    <w:rsid w:val="007D64B9"/>
    <w:rsid w:val="007D732C"/>
    <w:rsid w:val="007E132B"/>
    <w:rsid w:val="007E2A5C"/>
    <w:rsid w:val="007E663F"/>
    <w:rsid w:val="007E7077"/>
    <w:rsid w:val="007E7316"/>
    <w:rsid w:val="007E7397"/>
    <w:rsid w:val="007F04B5"/>
    <w:rsid w:val="007F0DCE"/>
    <w:rsid w:val="007F2909"/>
    <w:rsid w:val="007F33AA"/>
    <w:rsid w:val="007F43B8"/>
    <w:rsid w:val="007F4779"/>
    <w:rsid w:val="007F5141"/>
    <w:rsid w:val="007F6466"/>
    <w:rsid w:val="007F7479"/>
    <w:rsid w:val="007F7CF4"/>
    <w:rsid w:val="008004E3"/>
    <w:rsid w:val="008014A5"/>
    <w:rsid w:val="00801F38"/>
    <w:rsid w:val="008028A5"/>
    <w:rsid w:val="008058BF"/>
    <w:rsid w:val="00806021"/>
    <w:rsid w:val="008061BE"/>
    <w:rsid w:val="008065B6"/>
    <w:rsid w:val="008065C0"/>
    <w:rsid w:val="0080745B"/>
    <w:rsid w:val="008079FB"/>
    <w:rsid w:val="00807A25"/>
    <w:rsid w:val="00810E74"/>
    <w:rsid w:val="00811B6B"/>
    <w:rsid w:val="008127DC"/>
    <w:rsid w:val="00812D12"/>
    <w:rsid w:val="00814DCA"/>
    <w:rsid w:val="0081535F"/>
    <w:rsid w:val="00815D83"/>
    <w:rsid w:val="00816EA9"/>
    <w:rsid w:val="00817440"/>
    <w:rsid w:val="008176FA"/>
    <w:rsid w:val="00820109"/>
    <w:rsid w:val="00820C42"/>
    <w:rsid w:val="00821D76"/>
    <w:rsid w:val="00822103"/>
    <w:rsid w:val="00824685"/>
    <w:rsid w:val="00826B42"/>
    <w:rsid w:val="00827192"/>
    <w:rsid w:val="008316ED"/>
    <w:rsid w:val="00831E9D"/>
    <w:rsid w:val="00832EFB"/>
    <w:rsid w:val="00833757"/>
    <w:rsid w:val="0083489E"/>
    <w:rsid w:val="00834D54"/>
    <w:rsid w:val="008364F8"/>
    <w:rsid w:val="00836E49"/>
    <w:rsid w:val="00837126"/>
    <w:rsid w:val="0083798D"/>
    <w:rsid w:val="0084355A"/>
    <w:rsid w:val="0084381A"/>
    <w:rsid w:val="00843CD9"/>
    <w:rsid w:val="0084408A"/>
    <w:rsid w:val="00844AF0"/>
    <w:rsid w:val="008467B9"/>
    <w:rsid w:val="00846D99"/>
    <w:rsid w:val="008477EC"/>
    <w:rsid w:val="008501FE"/>
    <w:rsid w:val="00850998"/>
    <w:rsid w:val="00850FB7"/>
    <w:rsid w:val="008555FE"/>
    <w:rsid w:val="008563E3"/>
    <w:rsid w:val="008569E0"/>
    <w:rsid w:val="00857737"/>
    <w:rsid w:val="00860BF3"/>
    <w:rsid w:val="00862320"/>
    <w:rsid w:val="00863A4C"/>
    <w:rsid w:val="008641FE"/>
    <w:rsid w:val="00864614"/>
    <w:rsid w:val="008649B0"/>
    <w:rsid w:val="00864FC6"/>
    <w:rsid w:val="00866F5F"/>
    <w:rsid w:val="00866FAC"/>
    <w:rsid w:val="008675A2"/>
    <w:rsid w:val="00867DA5"/>
    <w:rsid w:val="00870578"/>
    <w:rsid w:val="008714E4"/>
    <w:rsid w:val="00871B06"/>
    <w:rsid w:val="0087269D"/>
    <w:rsid w:val="00872AE9"/>
    <w:rsid w:val="0087386F"/>
    <w:rsid w:val="008761A9"/>
    <w:rsid w:val="00876E66"/>
    <w:rsid w:val="0088235F"/>
    <w:rsid w:val="00882788"/>
    <w:rsid w:val="00885042"/>
    <w:rsid w:val="00885D72"/>
    <w:rsid w:val="008864B0"/>
    <w:rsid w:val="00887CD9"/>
    <w:rsid w:val="008909C9"/>
    <w:rsid w:val="00891B61"/>
    <w:rsid w:val="00891D22"/>
    <w:rsid w:val="0089648F"/>
    <w:rsid w:val="00896E59"/>
    <w:rsid w:val="008A1826"/>
    <w:rsid w:val="008A19FF"/>
    <w:rsid w:val="008A2B5A"/>
    <w:rsid w:val="008A3825"/>
    <w:rsid w:val="008A3AF1"/>
    <w:rsid w:val="008A3E55"/>
    <w:rsid w:val="008A442D"/>
    <w:rsid w:val="008A45E5"/>
    <w:rsid w:val="008A725C"/>
    <w:rsid w:val="008B03D9"/>
    <w:rsid w:val="008B0F65"/>
    <w:rsid w:val="008B175E"/>
    <w:rsid w:val="008B1F49"/>
    <w:rsid w:val="008B2136"/>
    <w:rsid w:val="008B22C0"/>
    <w:rsid w:val="008B30CC"/>
    <w:rsid w:val="008B4A7F"/>
    <w:rsid w:val="008B5F7E"/>
    <w:rsid w:val="008B62D8"/>
    <w:rsid w:val="008B6B47"/>
    <w:rsid w:val="008C0725"/>
    <w:rsid w:val="008C0C44"/>
    <w:rsid w:val="008C0E9B"/>
    <w:rsid w:val="008C3DCE"/>
    <w:rsid w:val="008C41F8"/>
    <w:rsid w:val="008C4289"/>
    <w:rsid w:val="008C6061"/>
    <w:rsid w:val="008C6289"/>
    <w:rsid w:val="008C68CF"/>
    <w:rsid w:val="008C789F"/>
    <w:rsid w:val="008C7C2E"/>
    <w:rsid w:val="008D060F"/>
    <w:rsid w:val="008D071E"/>
    <w:rsid w:val="008D0E70"/>
    <w:rsid w:val="008D0EA3"/>
    <w:rsid w:val="008D0FCA"/>
    <w:rsid w:val="008D125D"/>
    <w:rsid w:val="008D1DD0"/>
    <w:rsid w:val="008D2248"/>
    <w:rsid w:val="008D2963"/>
    <w:rsid w:val="008D2C52"/>
    <w:rsid w:val="008D3171"/>
    <w:rsid w:val="008D3C38"/>
    <w:rsid w:val="008D4237"/>
    <w:rsid w:val="008D44AE"/>
    <w:rsid w:val="008D4621"/>
    <w:rsid w:val="008D4C99"/>
    <w:rsid w:val="008D4DCD"/>
    <w:rsid w:val="008D57BF"/>
    <w:rsid w:val="008D5DE0"/>
    <w:rsid w:val="008D62D4"/>
    <w:rsid w:val="008D672E"/>
    <w:rsid w:val="008E19AD"/>
    <w:rsid w:val="008E1B97"/>
    <w:rsid w:val="008E3D96"/>
    <w:rsid w:val="008E3EA4"/>
    <w:rsid w:val="008E473B"/>
    <w:rsid w:val="008E64A9"/>
    <w:rsid w:val="008E68B7"/>
    <w:rsid w:val="008F0670"/>
    <w:rsid w:val="008F0C98"/>
    <w:rsid w:val="008F1E3C"/>
    <w:rsid w:val="008F2E1C"/>
    <w:rsid w:val="008F309A"/>
    <w:rsid w:val="008F3DD8"/>
    <w:rsid w:val="008F4B1A"/>
    <w:rsid w:val="008F4CE5"/>
    <w:rsid w:val="008F61DD"/>
    <w:rsid w:val="008F635A"/>
    <w:rsid w:val="00901B6D"/>
    <w:rsid w:val="00903231"/>
    <w:rsid w:val="0090348A"/>
    <w:rsid w:val="00903702"/>
    <w:rsid w:val="0090402B"/>
    <w:rsid w:val="00904057"/>
    <w:rsid w:val="009045A7"/>
    <w:rsid w:val="009053E5"/>
    <w:rsid w:val="009129A6"/>
    <w:rsid w:val="009153D9"/>
    <w:rsid w:val="009155BA"/>
    <w:rsid w:val="00920BBE"/>
    <w:rsid w:val="009218F9"/>
    <w:rsid w:val="00922411"/>
    <w:rsid w:val="00922ACB"/>
    <w:rsid w:val="00926BCB"/>
    <w:rsid w:val="0092766D"/>
    <w:rsid w:val="00930653"/>
    <w:rsid w:val="009313FB"/>
    <w:rsid w:val="00931E28"/>
    <w:rsid w:val="00932CC2"/>
    <w:rsid w:val="0093372B"/>
    <w:rsid w:val="00933C67"/>
    <w:rsid w:val="00934F18"/>
    <w:rsid w:val="00935910"/>
    <w:rsid w:val="00935A2B"/>
    <w:rsid w:val="009378EB"/>
    <w:rsid w:val="00937D65"/>
    <w:rsid w:val="009406FF"/>
    <w:rsid w:val="00940801"/>
    <w:rsid w:val="00940FF5"/>
    <w:rsid w:val="009448E7"/>
    <w:rsid w:val="00945F16"/>
    <w:rsid w:val="00946C6C"/>
    <w:rsid w:val="00947910"/>
    <w:rsid w:val="00951434"/>
    <w:rsid w:val="009520DD"/>
    <w:rsid w:val="0095210E"/>
    <w:rsid w:val="00952115"/>
    <w:rsid w:val="0095349C"/>
    <w:rsid w:val="00953506"/>
    <w:rsid w:val="00954D1C"/>
    <w:rsid w:val="00955522"/>
    <w:rsid w:val="0095616F"/>
    <w:rsid w:val="00956ED2"/>
    <w:rsid w:val="00962164"/>
    <w:rsid w:val="00962393"/>
    <w:rsid w:val="00965A7B"/>
    <w:rsid w:val="00965B8E"/>
    <w:rsid w:val="00965FCF"/>
    <w:rsid w:val="00966686"/>
    <w:rsid w:val="0096691B"/>
    <w:rsid w:val="009673FA"/>
    <w:rsid w:val="00972266"/>
    <w:rsid w:val="00973A5E"/>
    <w:rsid w:val="00973C54"/>
    <w:rsid w:val="00973D48"/>
    <w:rsid w:val="00976D6A"/>
    <w:rsid w:val="009819CD"/>
    <w:rsid w:val="00983088"/>
    <w:rsid w:val="009859E6"/>
    <w:rsid w:val="00985CCB"/>
    <w:rsid w:val="00985D02"/>
    <w:rsid w:val="00985E43"/>
    <w:rsid w:val="00986290"/>
    <w:rsid w:val="0098633F"/>
    <w:rsid w:val="0098661B"/>
    <w:rsid w:val="009868EF"/>
    <w:rsid w:val="009874D5"/>
    <w:rsid w:val="009901F4"/>
    <w:rsid w:val="00994266"/>
    <w:rsid w:val="00994516"/>
    <w:rsid w:val="00996A17"/>
    <w:rsid w:val="0099785F"/>
    <w:rsid w:val="009978C9"/>
    <w:rsid w:val="00997A79"/>
    <w:rsid w:val="009A293D"/>
    <w:rsid w:val="009A2E3B"/>
    <w:rsid w:val="009A2EC7"/>
    <w:rsid w:val="009A2FC4"/>
    <w:rsid w:val="009A3166"/>
    <w:rsid w:val="009A3176"/>
    <w:rsid w:val="009A6C79"/>
    <w:rsid w:val="009A7003"/>
    <w:rsid w:val="009A7A0E"/>
    <w:rsid w:val="009A7C95"/>
    <w:rsid w:val="009B0DAA"/>
    <w:rsid w:val="009B1B36"/>
    <w:rsid w:val="009B33AB"/>
    <w:rsid w:val="009B5A17"/>
    <w:rsid w:val="009B6238"/>
    <w:rsid w:val="009B694A"/>
    <w:rsid w:val="009B7CF5"/>
    <w:rsid w:val="009C18E5"/>
    <w:rsid w:val="009C1EF9"/>
    <w:rsid w:val="009C36F1"/>
    <w:rsid w:val="009C39AD"/>
    <w:rsid w:val="009C3A4D"/>
    <w:rsid w:val="009C4206"/>
    <w:rsid w:val="009C4A3B"/>
    <w:rsid w:val="009C4FDB"/>
    <w:rsid w:val="009C5282"/>
    <w:rsid w:val="009C6145"/>
    <w:rsid w:val="009C6D26"/>
    <w:rsid w:val="009C7C9B"/>
    <w:rsid w:val="009C7CC6"/>
    <w:rsid w:val="009D1196"/>
    <w:rsid w:val="009D1BBD"/>
    <w:rsid w:val="009D4DE4"/>
    <w:rsid w:val="009D6143"/>
    <w:rsid w:val="009D63D2"/>
    <w:rsid w:val="009D709F"/>
    <w:rsid w:val="009E155D"/>
    <w:rsid w:val="009E1B84"/>
    <w:rsid w:val="009E275E"/>
    <w:rsid w:val="009E44F2"/>
    <w:rsid w:val="009E4BD7"/>
    <w:rsid w:val="009E5060"/>
    <w:rsid w:val="009E6B2F"/>
    <w:rsid w:val="009F0A7D"/>
    <w:rsid w:val="009F2220"/>
    <w:rsid w:val="009F3338"/>
    <w:rsid w:val="009F39FD"/>
    <w:rsid w:val="009F4267"/>
    <w:rsid w:val="009F47B8"/>
    <w:rsid w:val="009F504B"/>
    <w:rsid w:val="009F58D1"/>
    <w:rsid w:val="009F6AD2"/>
    <w:rsid w:val="009F6F51"/>
    <w:rsid w:val="009F7F3C"/>
    <w:rsid w:val="00A00778"/>
    <w:rsid w:val="00A00BBB"/>
    <w:rsid w:val="00A010F7"/>
    <w:rsid w:val="00A01DE5"/>
    <w:rsid w:val="00A02995"/>
    <w:rsid w:val="00A02DC1"/>
    <w:rsid w:val="00A03560"/>
    <w:rsid w:val="00A0486B"/>
    <w:rsid w:val="00A05C2B"/>
    <w:rsid w:val="00A0747A"/>
    <w:rsid w:val="00A12087"/>
    <w:rsid w:val="00A12A9A"/>
    <w:rsid w:val="00A12B51"/>
    <w:rsid w:val="00A12EDD"/>
    <w:rsid w:val="00A1309C"/>
    <w:rsid w:val="00A13CE3"/>
    <w:rsid w:val="00A13DB0"/>
    <w:rsid w:val="00A14049"/>
    <w:rsid w:val="00A14D12"/>
    <w:rsid w:val="00A14E7D"/>
    <w:rsid w:val="00A15414"/>
    <w:rsid w:val="00A15B40"/>
    <w:rsid w:val="00A169CA"/>
    <w:rsid w:val="00A1783F"/>
    <w:rsid w:val="00A20126"/>
    <w:rsid w:val="00A204C0"/>
    <w:rsid w:val="00A222F6"/>
    <w:rsid w:val="00A22DBD"/>
    <w:rsid w:val="00A232BD"/>
    <w:rsid w:val="00A244A8"/>
    <w:rsid w:val="00A25536"/>
    <w:rsid w:val="00A25998"/>
    <w:rsid w:val="00A25D8F"/>
    <w:rsid w:val="00A266F3"/>
    <w:rsid w:val="00A26B1C"/>
    <w:rsid w:val="00A270CB"/>
    <w:rsid w:val="00A27D30"/>
    <w:rsid w:val="00A3157A"/>
    <w:rsid w:val="00A31A2D"/>
    <w:rsid w:val="00A31E1F"/>
    <w:rsid w:val="00A36549"/>
    <w:rsid w:val="00A376A3"/>
    <w:rsid w:val="00A378BA"/>
    <w:rsid w:val="00A40760"/>
    <w:rsid w:val="00A40FD9"/>
    <w:rsid w:val="00A40FF7"/>
    <w:rsid w:val="00A42167"/>
    <w:rsid w:val="00A42B99"/>
    <w:rsid w:val="00A43CF3"/>
    <w:rsid w:val="00A440A9"/>
    <w:rsid w:val="00A50F04"/>
    <w:rsid w:val="00A51028"/>
    <w:rsid w:val="00A5109A"/>
    <w:rsid w:val="00A53FD7"/>
    <w:rsid w:val="00A54178"/>
    <w:rsid w:val="00A54CFE"/>
    <w:rsid w:val="00A5650E"/>
    <w:rsid w:val="00A56805"/>
    <w:rsid w:val="00A600DC"/>
    <w:rsid w:val="00A60DA6"/>
    <w:rsid w:val="00A61349"/>
    <w:rsid w:val="00A64D0D"/>
    <w:rsid w:val="00A6535B"/>
    <w:rsid w:val="00A65BF1"/>
    <w:rsid w:val="00A664FE"/>
    <w:rsid w:val="00A66F51"/>
    <w:rsid w:val="00A67DBA"/>
    <w:rsid w:val="00A7167F"/>
    <w:rsid w:val="00A718D8"/>
    <w:rsid w:val="00A71C98"/>
    <w:rsid w:val="00A72337"/>
    <w:rsid w:val="00A738C7"/>
    <w:rsid w:val="00A74126"/>
    <w:rsid w:val="00A74D3A"/>
    <w:rsid w:val="00A7557D"/>
    <w:rsid w:val="00A76FF7"/>
    <w:rsid w:val="00A771A4"/>
    <w:rsid w:val="00A773E5"/>
    <w:rsid w:val="00A778D1"/>
    <w:rsid w:val="00A77F2C"/>
    <w:rsid w:val="00A80E67"/>
    <w:rsid w:val="00A81FB3"/>
    <w:rsid w:val="00A82224"/>
    <w:rsid w:val="00A824C9"/>
    <w:rsid w:val="00A82C0D"/>
    <w:rsid w:val="00A83983"/>
    <w:rsid w:val="00A83A13"/>
    <w:rsid w:val="00A83C12"/>
    <w:rsid w:val="00A850DA"/>
    <w:rsid w:val="00A8534F"/>
    <w:rsid w:val="00A85E64"/>
    <w:rsid w:val="00A86511"/>
    <w:rsid w:val="00A86B9F"/>
    <w:rsid w:val="00A87687"/>
    <w:rsid w:val="00A90E8F"/>
    <w:rsid w:val="00A91EB9"/>
    <w:rsid w:val="00A91FCB"/>
    <w:rsid w:val="00A9278F"/>
    <w:rsid w:val="00A929B9"/>
    <w:rsid w:val="00A93BD5"/>
    <w:rsid w:val="00A93F81"/>
    <w:rsid w:val="00A96798"/>
    <w:rsid w:val="00A96939"/>
    <w:rsid w:val="00AA05AA"/>
    <w:rsid w:val="00AA2C83"/>
    <w:rsid w:val="00AA4EC7"/>
    <w:rsid w:val="00AA5B49"/>
    <w:rsid w:val="00AA6ACF"/>
    <w:rsid w:val="00AA7FDE"/>
    <w:rsid w:val="00AB0922"/>
    <w:rsid w:val="00AB1528"/>
    <w:rsid w:val="00AB1B01"/>
    <w:rsid w:val="00AB2518"/>
    <w:rsid w:val="00AB49D7"/>
    <w:rsid w:val="00AB5855"/>
    <w:rsid w:val="00AB5F77"/>
    <w:rsid w:val="00AB6DC7"/>
    <w:rsid w:val="00AB724D"/>
    <w:rsid w:val="00AB7461"/>
    <w:rsid w:val="00AC0092"/>
    <w:rsid w:val="00AC09EB"/>
    <w:rsid w:val="00AC1039"/>
    <w:rsid w:val="00AC2A58"/>
    <w:rsid w:val="00AC4F3A"/>
    <w:rsid w:val="00AC5FCB"/>
    <w:rsid w:val="00AD082F"/>
    <w:rsid w:val="00AD087D"/>
    <w:rsid w:val="00AD0C5B"/>
    <w:rsid w:val="00AD1C26"/>
    <w:rsid w:val="00AD25FD"/>
    <w:rsid w:val="00AD264F"/>
    <w:rsid w:val="00AD2757"/>
    <w:rsid w:val="00AD2D4C"/>
    <w:rsid w:val="00AD31FB"/>
    <w:rsid w:val="00AD3236"/>
    <w:rsid w:val="00AD6868"/>
    <w:rsid w:val="00AD70CD"/>
    <w:rsid w:val="00AE041D"/>
    <w:rsid w:val="00AE0B5F"/>
    <w:rsid w:val="00AE1CDC"/>
    <w:rsid w:val="00AE2276"/>
    <w:rsid w:val="00AE3D2D"/>
    <w:rsid w:val="00AE5848"/>
    <w:rsid w:val="00AE5FD5"/>
    <w:rsid w:val="00AE6519"/>
    <w:rsid w:val="00AE6F48"/>
    <w:rsid w:val="00AE7763"/>
    <w:rsid w:val="00AF053D"/>
    <w:rsid w:val="00AF08E6"/>
    <w:rsid w:val="00AF2285"/>
    <w:rsid w:val="00AF240F"/>
    <w:rsid w:val="00AF243C"/>
    <w:rsid w:val="00AF364F"/>
    <w:rsid w:val="00AF4925"/>
    <w:rsid w:val="00AF54F6"/>
    <w:rsid w:val="00AF59AE"/>
    <w:rsid w:val="00AF66E5"/>
    <w:rsid w:val="00AF7040"/>
    <w:rsid w:val="00AF76E9"/>
    <w:rsid w:val="00B002D9"/>
    <w:rsid w:val="00B0086B"/>
    <w:rsid w:val="00B017E2"/>
    <w:rsid w:val="00B02296"/>
    <w:rsid w:val="00B03315"/>
    <w:rsid w:val="00B03921"/>
    <w:rsid w:val="00B043FE"/>
    <w:rsid w:val="00B11D1E"/>
    <w:rsid w:val="00B12588"/>
    <w:rsid w:val="00B1418C"/>
    <w:rsid w:val="00B159C7"/>
    <w:rsid w:val="00B15B79"/>
    <w:rsid w:val="00B20270"/>
    <w:rsid w:val="00B20525"/>
    <w:rsid w:val="00B20F1F"/>
    <w:rsid w:val="00B21844"/>
    <w:rsid w:val="00B21B1D"/>
    <w:rsid w:val="00B226E2"/>
    <w:rsid w:val="00B238F3"/>
    <w:rsid w:val="00B248F1"/>
    <w:rsid w:val="00B24BC8"/>
    <w:rsid w:val="00B24E65"/>
    <w:rsid w:val="00B24ED3"/>
    <w:rsid w:val="00B25CB8"/>
    <w:rsid w:val="00B25DFA"/>
    <w:rsid w:val="00B2630D"/>
    <w:rsid w:val="00B263F3"/>
    <w:rsid w:val="00B2696A"/>
    <w:rsid w:val="00B26E3E"/>
    <w:rsid w:val="00B30555"/>
    <w:rsid w:val="00B31695"/>
    <w:rsid w:val="00B31C72"/>
    <w:rsid w:val="00B338F6"/>
    <w:rsid w:val="00B33C7F"/>
    <w:rsid w:val="00B35FE4"/>
    <w:rsid w:val="00B4377C"/>
    <w:rsid w:val="00B46B2F"/>
    <w:rsid w:val="00B50E46"/>
    <w:rsid w:val="00B518DE"/>
    <w:rsid w:val="00B52925"/>
    <w:rsid w:val="00B5293D"/>
    <w:rsid w:val="00B532D3"/>
    <w:rsid w:val="00B53815"/>
    <w:rsid w:val="00B54E4F"/>
    <w:rsid w:val="00B55643"/>
    <w:rsid w:val="00B55A56"/>
    <w:rsid w:val="00B56881"/>
    <w:rsid w:val="00B61C32"/>
    <w:rsid w:val="00B61D45"/>
    <w:rsid w:val="00B61EEB"/>
    <w:rsid w:val="00B629D8"/>
    <w:rsid w:val="00B62DA4"/>
    <w:rsid w:val="00B63C09"/>
    <w:rsid w:val="00B701AC"/>
    <w:rsid w:val="00B703BC"/>
    <w:rsid w:val="00B72CB0"/>
    <w:rsid w:val="00B747F7"/>
    <w:rsid w:val="00B76016"/>
    <w:rsid w:val="00B76C24"/>
    <w:rsid w:val="00B76E89"/>
    <w:rsid w:val="00B77291"/>
    <w:rsid w:val="00B80179"/>
    <w:rsid w:val="00B85682"/>
    <w:rsid w:val="00B86B34"/>
    <w:rsid w:val="00B930C0"/>
    <w:rsid w:val="00B95F35"/>
    <w:rsid w:val="00B96C34"/>
    <w:rsid w:val="00B97C93"/>
    <w:rsid w:val="00BA06B6"/>
    <w:rsid w:val="00BA3FEC"/>
    <w:rsid w:val="00BA6181"/>
    <w:rsid w:val="00BB15D9"/>
    <w:rsid w:val="00BB22E4"/>
    <w:rsid w:val="00BB4F55"/>
    <w:rsid w:val="00BB5D90"/>
    <w:rsid w:val="00BB6435"/>
    <w:rsid w:val="00BC215B"/>
    <w:rsid w:val="00BC22FA"/>
    <w:rsid w:val="00BC24AE"/>
    <w:rsid w:val="00BC3A51"/>
    <w:rsid w:val="00BD1070"/>
    <w:rsid w:val="00BD1AA1"/>
    <w:rsid w:val="00BD223B"/>
    <w:rsid w:val="00BD2E2B"/>
    <w:rsid w:val="00BD33A4"/>
    <w:rsid w:val="00BD3A52"/>
    <w:rsid w:val="00BD43A8"/>
    <w:rsid w:val="00BD4864"/>
    <w:rsid w:val="00BD6992"/>
    <w:rsid w:val="00BD767B"/>
    <w:rsid w:val="00BE17FE"/>
    <w:rsid w:val="00BE3D65"/>
    <w:rsid w:val="00BE58C1"/>
    <w:rsid w:val="00BE70B6"/>
    <w:rsid w:val="00BE7CCF"/>
    <w:rsid w:val="00BF001A"/>
    <w:rsid w:val="00BF1532"/>
    <w:rsid w:val="00BF4C2B"/>
    <w:rsid w:val="00BF56CB"/>
    <w:rsid w:val="00BF5C8E"/>
    <w:rsid w:val="00C00E71"/>
    <w:rsid w:val="00C03104"/>
    <w:rsid w:val="00C0680C"/>
    <w:rsid w:val="00C07458"/>
    <w:rsid w:val="00C0788C"/>
    <w:rsid w:val="00C12F90"/>
    <w:rsid w:val="00C1404F"/>
    <w:rsid w:val="00C14C0B"/>
    <w:rsid w:val="00C163E9"/>
    <w:rsid w:val="00C17E8C"/>
    <w:rsid w:val="00C20A95"/>
    <w:rsid w:val="00C21DAE"/>
    <w:rsid w:val="00C25116"/>
    <w:rsid w:val="00C26BCC"/>
    <w:rsid w:val="00C278EE"/>
    <w:rsid w:val="00C27C35"/>
    <w:rsid w:val="00C321D0"/>
    <w:rsid w:val="00C329BF"/>
    <w:rsid w:val="00C33A68"/>
    <w:rsid w:val="00C35420"/>
    <w:rsid w:val="00C3655C"/>
    <w:rsid w:val="00C36CF6"/>
    <w:rsid w:val="00C413C7"/>
    <w:rsid w:val="00C41E0C"/>
    <w:rsid w:val="00C435A4"/>
    <w:rsid w:val="00C43A0A"/>
    <w:rsid w:val="00C446D5"/>
    <w:rsid w:val="00C44A7A"/>
    <w:rsid w:val="00C45EEE"/>
    <w:rsid w:val="00C45FAA"/>
    <w:rsid w:val="00C47C97"/>
    <w:rsid w:val="00C47E15"/>
    <w:rsid w:val="00C507CF"/>
    <w:rsid w:val="00C5263D"/>
    <w:rsid w:val="00C526A9"/>
    <w:rsid w:val="00C52729"/>
    <w:rsid w:val="00C53B04"/>
    <w:rsid w:val="00C5433E"/>
    <w:rsid w:val="00C54718"/>
    <w:rsid w:val="00C54E42"/>
    <w:rsid w:val="00C562A5"/>
    <w:rsid w:val="00C61C0C"/>
    <w:rsid w:val="00C63CE2"/>
    <w:rsid w:val="00C64082"/>
    <w:rsid w:val="00C640EE"/>
    <w:rsid w:val="00C6531B"/>
    <w:rsid w:val="00C65AAD"/>
    <w:rsid w:val="00C668D9"/>
    <w:rsid w:val="00C67D29"/>
    <w:rsid w:val="00C71D84"/>
    <w:rsid w:val="00C7256D"/>
    <w:rsid w:val="00C72A72"/>
    <w:rsid w:val="00C7356D"/>
    <w:rsid w:val="00C735CF"/>
    <w:rsid w:val="00C7446C"/>
    <w:rsid w:val="00C749CB"/>
    <w:rsid w:val="00C757E1"/>
    <w:rsid w:val="00C8042B"/>
    <w:rsid w:val="00C81070"/>
    <w:rsid w:val="00C81FFF"/>
    <w:rsid w:val="00C835A8"/>
    <w:rsid w:val="00C83A51"/>
    <w:rsid w:val="00C84F0D"/>
    <w:rsid w:val="00C87022"/>
    <w:rsid w:val="00C8765B"/>
    <w:rsid w:val="00C879CE"/>
    <w:rsid w:val="00C90331"/>
    <w:rsid w:val="00C90A39"/>
    <w:rsid w:val="00C925D5"/>
    <w:rsid w:val="00C93A51"/>
    <w:rsid w:val="00C947E1"/>
    <w:rsid w:val="00CA1BA2"/>
    <w:rsid w:val="00CA1D66"/>
    <w:rsid w:val="00CA235F"/>
    <w:rsid w:val="00CA29C7"/>
    <w:rsid w:val="00CA3067"/>
    <w:rsid w:val="00CA38E1"/>
    <w:rsid w:val="00CA6452"/>
    <w:rsid w:val="00CA6798"/>
    <w:rsid w:val="00CB105D"/>
    <w:rsid w:val="00CB3179"/>
    <w:rsid w:val="00CB3236"/>
    <w:rsid w:val="00CB4491"/>
    <w:rsid w:val="00CB4FE8"/>
    <w:rsid w:val="00CB5712"/>
    <w:rsid w:val="00CB7A62"/>
    <w:rsid w:val="00CC0A7B"/>
    <w:rsid w:val="00CC283A"/>
    <w:rsid w:val="00CC483D"/>
    <w:rsid w:val="00CC5CE7"/>
    <w:rsid w:val="00CC5D1E"/>
    <w:rsid w:val="00CC71F2"/>
    <w:rsid w:val="00CD001F"/>
    <w:rsid w:val="00CD2634"/>
    <w:rsid w:val="00CD2B9E"/>
    <w:rsid w:val="00CD4497"/>
    <w:rsid w:val="00CD5492"/>
    <w:rsid w:val="00CD6274"/>
    <w:rsid w:val="00CD7570"/>
    <w:rsid w:val="00CE189C"/>
    <w:rsid w:val="00CE2663"/>
    <w:rsid w:val="00CE2F17"/>
    <w:rsid w:val="00CE3EB5"/>
    <w:rsid w:val="00CE6287"/>
    <w:rsid w:val="00CE629D"/>
    <w:rsid w:val="00CE7988"/>
    <w:rsid w:val="00CF3ECC"/>
    <w:rsid w:val="00CF665C"/>
    <w:rsid w:val="00D004A3"/>
    <w:rsid w:val="00D04976"/>
    <w:rsid w:val="00D053BD"/>
    <w:rsid w:val="00D071A4"/>
    <w:rsid w:val="00D07EBB"/>
    <w:rsid w:val="00D10B95"/>
    <w:rsid w:val="00D11740"/>
    <w:rsid w:val="00D11EE6"/>
    <w:rsid w:val="00D13BA7"/>
    <w:rsid w:val="00D13D97"/>
    <w:rsid w:val="00D13F93"/>
    <w:rsid w:val="00D14161"/>
    <w:rsid w:val="00D1542B"/>
    <w:rsid w:val="00D16B7D"/>
    <w:rsid w:val="00D1787A"/>
    <w:rsid w:val="00D17AB6"/>
    <w:rsid w:val="00D20B15"/>
    <w:rsid w:val="00D20DE6"/>
    <w:rsid w:val="00D2109F"/>
    <w:rsid w:val="00D212ED"/>
    <w:rsid w:val="00D21C64"/>
    <w:rsid w:val="00D23D36"/>
    <w:rsid w:val="00D258EC"/>
    <w:rsid w:val="00D25E56"/>
    <w:rsid w:val="00D2728A"/>
    <w:rsid w:val="00D31C26"/>
    <w:rsid w:val="00D33731"/>
    <w:rsid w:val="00D3560F"/>
    <w:rsid w:val="00D35C1A"/>
    <w:rsid w:val="00D415AE"/>
    <w:rsid w:val="00D426ED"/>
    <w:rsid w:val="00D4276F"/>
    <w:rsid w:val="00D4541C"/>
    <w:rsid w:val="00D455D7"/>
    <w:rsid w:val="00D47502"/>
    <w:rsid w:val="00D4778E"/>
    <w:rsid w:val="00D53552"/>
    <w:rsid w:val="00D5375C"/>
    <w:rsid w:val="00D53830"/>
    <w:rsid w:val="00D53912"/>
    <w:rsid w:val="00D54353"/>
    <w:rsid w:val="00D55A5F"/>
    <w:rsid w:val="00D563C0"/>
    <w:rsid w:val="00D56B37"/>
    <w:rsid w:val="00D57890"/>
    <w:rsid w:val="00D6041E"/>
    <w:rsid w:val="00D60F18"/>
    <w:rsid w:val="00D62C02"/>
    <w:rsid w:val="00D63AD5"/>
    <w:rsid w:val="00D648E7"/>
    <w:rsid w:val="00D64CCE"/>
    <w:rsid w:val="00D70FEC"/>
    <w:rsid w:val="00D71F24"/>
    <w:rsid w:val="00D72B37"/>
    <w:rsid w:val="00D74A21"/>
    <w:rsid w:val="00D74CCA"/>
    <w:rsid w:val="00D74FCE"/>
    <w:rsid w:val="00D76AC6"/>
    <w:rsid w:val="00D76B15"/>
    <w:rsid w:val="00D77CA1"/>
    <w:rsid w:val="00D80768"/>
    <w:rsid w:val="00D813E0"/>
    <w:rsid w:val="00D816A9"/>
    <w:rsid w:val="00D81DC8"/>
    <w:rsid w:val="00D825CA"/>
    <w:rsid w:val="00D8275E"/>
    <w:rsid w:val="00D82C96"/>
    <w:rsid w:val="00D83303"/>
    <w:rsid w:val="00D8462B"/>
    <w:rsid w:val="00D858A3"/>
    <w:rsid w:val="00D85A2D"/>
    <w:rsid w:val="00D85F61"/>
    <w:rsid w:val="00D90541"/>
    <w:rsid w:val="00D915B4"/>
    <w:rsid w:val="00D919EC"/>
    <w:rsid w:val="00D91C33"/>
    <w:rsid w:val="00D91CF8"/>
    <w:rsid w:val="00D92483"/>
    <w:rsid w:val="00D92C76"/>
    <w:rsid w:val="00D930BF"/>
    <w:rsid w:val="00D95840"/>
    <w:rsid w:val="00D9752F"/>
    <w:rsid w:val="00DA01DC"/>
    <w:rsid w:val="00DA05AA"/>
    <w:rsid w:val="00DA388B"/>
    <w:rsid w:val="00DA53D3"/>
    <w:rsid w:val="00DA6229"/>
    <w:rsid w:val="00DA64B9"/>
    <w:rsid w:val="00DA6A09"/>
    <w:rsid w:val="00DB0A4F"/>
    <w:rsid w:val="00DB1B7A"/>
    <w:rsid w:val="00DB1FBF"/>
    <w:rsid w:val="00DB204A"/>
    <w:rsid w:val="00DB2537"/>
    <w:rsid w:val="00DB28C0"/>
    <w:rsid w:val="00DB3977"/>
    <w:rsid w:val="00DB49F4"/>
    <w:rsid w:val="00DB5629"/>
    <w:rsid w:val="00DB68C7"/>
    <w:rsid w:val="00DB6C19"/>
    <w:rsid w:val="00DC031A"/>
    <w:rsid w:val="00DC3C1D"/>
    <w:rsid w:val="00DC4993"/>
    <w:rsid w:val="00DC6601"/>
    <w:rsid w:val="00DD0DDE"/>
    <w:rsid w:val="00DD1F64"/>
    <w:rsid w:val="00DD2ED7"/>
    <w:rsid w:val="00DD2FD5"/>
    <w:rsid w:val="00DD3671"/>
    <w:rsid w:val="00DD5F84"/>
    <w:rsid w:val="00DD61F8"/>
    <w:rsid w:val="00DD7397"/>
    <w:rsid w:val="00DD7B81"/>
    <w:rsid w:val="00DD7CD8"/>
    <w:rsid w:val="00DE0385"/>
    <w:rsid w:val="00DE0DB9"/>
    <w:rsid w:val="00DE3A1F"/>
    <w:rsid w:val="00DE4969"/>
    <w:rsid w:val="00DE511F"/>
    <w:rsid w:val="00DE5A02"/>
    <w:rsid w:val="00DE5C7F"/>
    <w:rsid w:val="00DE685A"/>
    <w:rsid w:val="00DE7289"/>
    <w:rsid w:val="00DE7535"/>
    <w:rsid w:val="00DE79C6"/>
    <w:rsid w:val="00DF0367"/>
    <w:rsid w:val="00DF0BF6"/>
    <w:rsid w:val="00DF15C8"/>
    <w:rsid w:val="00DF22A2"/>
    <w:rsid w:val="00DF29B1"/>
    <w:rsid w:val="00DF560B"/>
    <w:rsid w:val="00DF58DD"/>
    <w:rsid w:val="00DF5EC6"/>
    <w:rsid w:val="00DF697F"/>
    <w:rsid w:val="00DF76B3"/>
    <w:rsid w:val="00DF7BF0"/>
    <w:rsid w:val="00E01997"/>
    <w:rsid w:val="00E03177"/>
    <w:rsid w:val="00E03740"/>
    <w:rsid w:val="00E06AF3"/>
    <w:rsid w:val="00E0731D"/>
    <w:rsid w:val="00E1004C"/>
    <w:rsid w:val="00E1068F"/>
    <w:rsid w:val="00E107E6"/>
    <w:rsid w:val="00E122F4"/>
    <w:rsid w:val="00E123ED"/>
    <w:rsid w:val="00E12E12"/>
    <w:rsid w:val="00E15255"/>
    <w:rsid w:val="00E15A61"/>
    <w:rsid w:val="00E15C2D"/>
    <w:rsid w:val="00E16D49"/>
    <w:rsid w:val="00E20ADF"/>
    <w:rsid w:val="00E22917"/>
    <w:rsid w:val="00E22B4E"/>
    <w:rsid w:val="00E231B9"/>
    <w:rsid w:val="00E24A0F"/>
    <w:rsid w:val="00E25E45"/>
    <w:rsid w:val="00E2655C"/>
    <w:rsid w:val="00E269BA"/>
    <w:rsid w:val="00E269C1"/>
    <w:rsid w:val="00E27524"/>
    <w:rsid w:val="00E279ED"/>
    <w:rsid w:val="00E27E06"/>
    <w:rsid w:val="00E30D42"/>
    <w:rsid w:val="00E313A5"/>
    <w:rsid w:val="00E32C6F"/>
    <w:rsid w:val="00E3376E"/>
    <w:rsid w:val="00E34CD6"/>
    <w:rsid w:val="00E354F2"/>
    <w:rsid w:val="00E35DFA"/>
    <w:rsid w:val="00E366F2"/>
    <w:rsid w:val="00E37402"/>
    <w:rsid w:val="00E41E2F"/>
    <w:rsid w:val="00E42075"/>
    <w:rsid w:val="00E436A1"/>
    <w:rsid w:val="00E44491"/>
    <w:rsid w:val="00E4481E"/>
    <w:rsid w:val="00E44A2B"/>
    <w:rsid w:val="00E44A7D"/>
    <w:rsid w:val="00E45A89"/>
    <w:rsid w:val="00E45FC8"/>
    <w:rsid w:val="00E46207"/>
    <w:rsid w:val="00E475B5"/>
    <w:rsid w:val="00E50674"/>
    <w:rsid w:val="00E5188C"/>
    <w:rsid w:val="00E524AF"/>
    <w:rsid w:val="00E52666"/>
    <w:rsid w:val="00E53E09"/>
    <w:rsid w:val="00E54BF8"/>
    <w:rsid w:val="00E56EEA"/>
    <w:rsid w:val="00E6248E"/>
    <w:rsid w:val="00E62CCC"/>
    <w:rsid w:val="00E62F95"/>
    <w:rsid w:val="00E64293"/>
    <w:rsid w:val="00E64402"/>
    <w:rsid w:val="00E64B99"/>
    <w:rsid w:val="00E6691A"/>
    <w:rsid w:val="00E66F82"/>
    <w:rsid w:val="00E67345"/>
    <w:rsid w:val="00E70C60"/>
    <w:rsid w:val="00E720EA"/>
    <w:rsid w:val="00E72702"/>
    <w:rsid w:val="00E74FD3"/>
    <w:rsid w:val="00E7577B"/>
    <w:rsid w:val="00E762DE"/>
    <w:rsid w:val="00E76DCC"/>
    <w:rsid w:val="00E8059E"/>
    <w:rsid w:val="00E83206"/>
    <w:rsid w:val="00E867AE"/>
    <w:rsid w:val="00E909CE"/>
    <w:rsid w:val="00E9225E"/>
    <w:rsid w:val="00E92E00"/>
    <w:rsid w:val="00E94C4A"/>
    <w:rsid w:val="00E977B4"/>
    <w:rsid w:val="00EA0D87"/>
    <w:rsid w:val="00EA1624"/>
    <w:rsid w:val="00EA1F96"/>
    <w:rsid w:val="00EA290A"/>
    <w:rsid w:val="00EA30E1"/>
    <w:rsid w:val="00EA5369"/>
    <w:rsid w:val="00EA54F9"/>
    <w:rsid w:val="00EA55CE"/>
    <w:rsid w:val="00EA6382"/>
    <w:rsid w:val="00EA7925"/>
    <w:rsid w:val="00EB0298"/>
    <w:rsid w:val="00EB062C"/>
    <w:rsid w:val="00EB10AD"/>
    <w:rsid w:val="00EB13BA"/>
    <w:rsid w:val="00EB1647"/>
    <w:rsid w:val="00EB1740"/>
    <w:rsid w:val="00EB1A77"/>
    <w:rsid w:val="00EB1CA0"/>
    <w:rsid w:val="00EB276C"/>
    <w:rsid w:val="00EB31BD"/>
    <w:rsid w:val="00EB3486"/>
    <w:rsid w:val="00EB3C50"/>
    <w:rsid w:val="00EB3D1C"/>
    <w:rsid w:val="00EB4576"/>
    <w:rsid w:val="00EB4ACC"/>
    <w:rsid w:val="00EB5B21"/>
    <w:rsid w:val="00EB5B91"/>
    <w:rsid w:val="00EB5CDC"/>
    <w:rsid w:val="00EB6FA6"/>
    <w:rsid w:val="00EC10BE"/>
    <w:rsid w:val="00EC4B0A"/>
    <w:rsid w:val="00EC789B"/>
    <w:rsid w:val="00ED18B9"/>
    <w:rsid w:val="00ED4463"/>
    <w:rsid w:val="00ED46CD"/>
    <w:rsid w:val="00ED68FC"/>
    <w:rsid w:val="00EE1AD2"/>
    <w:rsid w:val="00EE2037"/>
    <w:rsid w:val="00EE268E"/>
    <w:rsid w:val="00EE2ECE"/>
    <w:rsid w:val="00EE3119"/>
    <w:rsid w:val="00EE3177"/>
    <w:rsid w:val="00EE3831"/>
    <w:rsid w:val="00EE38D6"/>
    <w:rsid w:val="00EE57C4"/>
    <w:rsid w:val="00EE5A6D"/>
    <w:rsid w:val="00EE6867"/>
    <w:rsid w:val="00EE6991"/>
    <w:rsid w:val="00EE6A28"/>
    <w:rsid w:val="00EF1894"/>
    <w:rsid w:val="00EF3B4F"/>
    <w:rsid w:val="00EF4068"/>
    <w:rsid w:val="00EF43A6"/>
    <w:rsid w:val="00EF5E39"/>
    <w:rsid w:val="00F00A89"/>
    <w:rsid w:val="00F0272F"/>
    <w:rsid w:val="00F055EA"/>
    <w:rsid w:val="00F0589A"/>
    <w:rsid w:val="00F061AD"/>
    <w:rsid w:val="00F063DB"/>
    <w:rsid w:val="00F0718B"/>
    <w:rsid w:val="00F10A53"/>
    <w:rsid w:val="00F10C95"/>
    <w:rsid w:val="00F13299"/>
    <w:rsid w:val="00F141CF"/>
    <w:rsid w:val="00F14955"/>
    <w:rsid w:val="00F15209"/>
    <w:rsid w:val="00F20213"/>
    <w:rsid w:val="00F22146"/>
    <w:rsid w:val="00F2242C"/>
    <w:rsid w:val="00F23C14"/>
    <w:rsid w:val="00F24687"/>
    <w:rsid w:val="00F2558C"/>
    <w:rsid w:val="00F32C9E"/>
    <w:rsid w:val="00F32CC7"/>
    <w:rsid w:val="00F33384"/>
    <w:rsid w:val="00F33566"/>
    <w:rsid w:val="00F3444C"/>
    <w:rsid w:val="00F401BD"/>
    <w:rsid w:val="00F41549"/>
    <w:rsid w:val="00F41662"/>
    <w:rsid w:val="00F42824"/>
    <w:rsid w:val="00F433D4"/>
    <w:rsid w:val="00F433E8"/>
    <w:rsid w:val="00F45258"/>
    <w:rsid w:val="00F4722F"/>
    <w:rsid w:val="00F503EA"/>
    <w:rsid w:val="00F50843"/>
    <w:rsid w:val="00F513A7"/>
    <w:rsid w:val="00F5376D"/>
    <w:rsid w:val="00F539F8"/>
    <w:rsid w:val="00F548F7"/>
    <w:rsid w:val="00F614EB"/>
    <w:rsid w:val="00F62E57"/>
    <w:rsid w:val="00F63D6E"/>
    <w:rsid w:val="00F70F78"/>
    <w:rsid w:val="00F737AB"/>
    <w:rsid w:val="00F7472F"/>
    <w:rsid w:val="00F75658"/>
    <w:rsid w:val="00F76E4A"/>
    <w:rsid w:val="00F81024"/>
    <w:rsid w:val="00F84087"/>
    <w:rsid w:val="00F910E1"/>
    <w:rsid w:val="00F94864"/>
    <w:rsid w:val="00F94D0D"/>
    <w:rsid w:val="00F95335"/>
    <w:rsid w:val="00F95651"/>
    <w:rsid w:val="00F95E8A"/>
    <w:rsid w:val="00F96E7B"/>
    <w:rsid w:val="00F97035"/>
    <w:rsid w:val="00FA2ED0"/>
    <w:rsid w:val="00FA3A80"/>
    <w:rsid w:val="00FA3AC0"/>
    <w:rsid w:val="00FA530F"/>
    <w:rsid w:val="00FA56BE"/>
    <w:rsid w:val="00FA62C1"/>
    <w:rsid w:val="00FA7C82"/>
    <w:rsid w:val="00FA7E61"/>
    <w:rsid w:val="00FB3C18"/>
    <w:rsid w:val="00FB468D"/>
    <w:rsid w:val="00FB4E48"/>
    <w:rsid w:val="00FB5B82"/>
    <w:rsid w:val="00FB750C"/>
    <w:rsid w:val="00FC0A2D"/>
    <w:rsid w:val="00FC11DE"/>
    <w:rsid w:val="00FC1450"/>
    <w:rsid w:val="00FC160D"/>
    <w:rsid w:val="00FC26C8"/>
    <w:rsid w:val="00FC4104"/>
    <w:rsid w:val="00FC5365"/>
    <w:rsid w:val="00FC7174"/>
    <w:rsid w:val="00FD052E"/>
    <w:rsid w:val="00FD0CD4"/>
    <w:rsid w:val="00FD0F83"/>
    <w:rsid w:val="00FD12AB"/>
    <w:rsid w:val="00FD1323"/>
    <w:rsid w:val="00FD1802"/>
    <w:rsid w:val="00FD5348"/>
    <w:rsid w:val="00FD777E"/>
    <w:rsid w:val="00FD7F6D"/>
    <w:rsid w:val="00FE194A"/>
    <w:rsid w:val="00FE19DA"/>
    <w:rsid w:val="00FE2754"/>
    <w:rsid w:val="00FE43D2"/>
    <w:rsid w:val="00FE533E"/>
    <w:rsid w:val="00FE53A3"/>
    <w:rsid w:val="00FE64B4"/>
    <w:rsid w:val="00FE6681"/>
    <w:rsid w:val="00FF1113"/>
    <w:rsid w:val="00FF244A"/>
    <w:rsid w:val="00FF378A"/>
    <w:rsid w:val="00FF38B0"/>
    <w:rsid w:val="00FF38B2"/>
    <w:rsid w:val="00FF5A2E"/>
    <w:rsid w:val="00FF6A47"/>
    <w:rsid w:val="00FF7162"/>
    <w:rsid w:val="00FF7206"/>
    <w:rsid w:val="00FF7C83"/>
    <w:rsid w:val="00FF7E23"/>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71E"/>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46D99"/>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846D99"/>
  </w:style>
  <w:style w:type="paragraph" w:styleId="Footer">
    <w:name w:val="footer"/>
    <w:basedOn w:val="Normal"/>
    <w:link w:val="FooterChar"/>
    <w:uiPriority w:val="99"/>
    <w:rsid w:val="00846D99"/>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46D99"/>
  </w:style>
  <w:style w:type="paragraph" w:styleId="BalloonText">
    <w:name w:val="Balloon Text"/>
    <w:basedOn w:val="Normal"/>
    <w:link w:val="BalloonTextChar"/>
    <w:uiPriority w:val="99"/>
    <w:semiHidden/>
    <w:rsid w:val="00846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6D99"/>
    <w:rPr>
      <w:rFonts w:ascii="Tahoma" w:hAnsi="Tahoma" w:cs="Tahoma"/>
      <w:sz w:val="16"/>
      <w:szCs w:val="16"/>
    </w:rPr>
  </w:style>
  <w:style w:type="table" w:styleId="TableGrid">
    <w:name w:val="Table Grid"/>
    <w:basedOn w:val="TableNormal"/>
    <w:uiPriority w:val="99"/>
    <w:rsid w:val="000F178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0321D"/>
    <w:rPr>
      <w:color w:val="0000FF"/>
      <w:u w:val="single"/>
    </w:rPr>
  </w:style>
  <w:style w:type="character" w:styleId="Strong">
    <w:name w:val="Strong"/>
    <w:basedOn w:val="DefaultParagraphFont"/>
    <w:uiPriority w:val="99"/>
    <w:qFormat/>
    <w:rsid w:val="0040321D"/>
    <w:rPr>
      <w:b/>
      <w:bCs/>
    </w:rPr>
  </w:style>
  <w:style w:type="paragraph" w:styleId="ListParagraph">
    <w:name w:val="List Paragraph"/>
    <w:basedOn w:val="Normal"/>
    <w:uiPriority w:val="99"/>
    <w:qFormat/>
    <w:rsid w:val="00775BE6"/>
    <w:pPr>
      <w:ind w:left="720"/>
    </w:pPr>
  </w:style>
  <w:style w:type="table" w:styleId="LightShading-Accent1">
    <w:name w:val="Light Shading Accent 1"/>
    <w:basedOn w:val="TableNormal"/>
    <w:uiPriority w:val="99"/>
    <w:rsid w:val="00AE6F48"/>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pagetitle1">
    <w:name w:val="pagetitle1"/>
    <w:basedOn w:val="DefaultParagraphFont"/>
    <w:uiPriority w:val="99"/>
    <w:rsid w:val="00623EA1"/>
    <w:rPr>
      <w:rFonts w:ascii="Georgia" w:hAnsi="Georgia" w:cs="Georgia"/>
      <w:b/>
      <w:bCs/>
      <w:color w:val="auto"/>
      <w:sz w:val="21"/>
      <w:szCs w:val="21"/>
    </w:rPr>
  </w:style>
  <w:style w:type="paragraph" w:styleId="NormalWeb">
    <w:name w:val="Normal (Web)"/>
    <w:basedOn w:val="Normal"/>
    <w:uiPriority w:val="99"/>
    <w:rsid w:val="00623E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Emphasis">
    <w:name w:val="Emphasis"/>
    <w:basedOn w:val="DefaultParagraphFont"/>
    <w:uiPriority w:val="99"/>
    <w:qFormat/>
    <w:rsid w:val="00A22DBD"/>
    <w:rPr>
      <w:i/>
      <w:iCs/>
    </w:rPr>
  </w:style>
  <w:style w:type="paragraph" w:styleId="FootnoteText">
    <w:name w:val="footnote text"/>
    <w:basedOn w:val="Normal"/>
    <w:link w:val="FootnoteTextChar"/>
    <w:uiPriority w:val="99"/>
    <w:semiHidden/>
    <w:rsid w:val="007E132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E132B"/>
    <w:rPr>
      <w:sz w:val="20"/>
      <w:szCs w:val="20"/>
    </w:rPr>
  </w:style>
  <w:style w:type="character" w:styleId="FootnoteReference">
    <w:name w:val="footnote reference"/>
    <w:basedOn w:val="DefaultParagraphFont"/>
    <w:uiPriority w:val="99"/>
    <w:semiHidden/>
    <w:rsid w:val="007E132B"/>
    <w:rPr>
      <w:vertAlign w:val="superscript"/>
    </w:rPr>
  </w:style>
  <w:style w:type="character" w:styleId="FollowedHyperlink">
    <w:name w:val="FollowedHyperlink"/>
    <w:basedOn w:val="DefaultParagraphFont"/>
    <w:uiPriority w:val="99"/>
    <w:semiHidden/>
    <w:rsid w:val="00C20A95"/>
    <w:rPr>
      <w:color w:val="800080"/>
      <w:u w:val="single"/>
    </w:rPr>
  </w:style>
  <w:style w:type="character" w:styleId="CommentReference">
    <w:name w:val="annotation reference"/>
    <w:basedOn w:val="DefaultParagraphFont"/>
    <w:uiPriority w:val="99"/>
    <w:semiHidden/>
    <w:rsid w:val="005242D7"/>
    <w:rPr>
      <w:sz w:val="16"/>
      <w:szCs w:val="16"/>
    </w:rPr>
  </w:style>
  <w:style w:type="paragraph" w:styleId="CommentText">
    <w:name w:val="annotation text"/>
    <w:basedOn w:val="Normal"/>
    <w:link w:val="CommentTextChar"/>
    <w:uiPriority w:val="99"/>
    <w:semiHidden/>
    <w:rsid w:val="005242D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242D7"/>
    <w:rPr>
      <w:sz w:val="20"/>
      <w:szCs w:val="20"/>
    </w:rPr>
  </w:style>
  <w:style w:type="paragraph" w:styleId="CommentSubject">
    <w:name w:val="annotation subject"/>
    <w:basedOn w:val="CommentText"/>
    <w:next w:val="CommentText"/>
    <w:link w:val="CommentSubjectChar"/>
    <w:uiPriority w:val="99"/>
    <w:semiHidden/>
    <w:rsid w:val="005242D7"/>
    <w:rPr>
      <w:b/>
      <w:bCs/>
    </w:rPr>
  </w:style>
  <w:style w:type="character" w:customStyle="1" w:styleId="CommentSubjectChar">
    <w:name w:val="Comment Subject Char"/>
    <w:basedOn w:val="CommentTextChar"/>
    <w:link w:val="CommentSubject"/>
    <w:uiPriority w:val="99"/>
    <w:semiHidden/>
    <w:locked/>
    <w:rsid w:val="005242D7"/>
    <w:rPr>
      <w:b/>
      <w:bCs/>
    </w:rPr>
  </w:style>
  <w:style w:type="character" w:customStyle="1" w:styleId="bog-bodytext1">
    <w:name w:val="bog-bodytext1"/>
    <w:basedOn w:val="DefaultParagraphFont"/>
    <w:uiPriority w:val="99"/>
    <w:rsid w:val="00686CA8"/>
    <w:rPr>
      <w:rFonts w:ascii="Tahoma" w:hAnsi="Tahoma" w:cs="Tahoma"/>
      <w:color w:val="000000"/>
    </w:rPr>
  </w:style>
  <w:style w:type="character" w:styleId="PlaceholderText">
    <w:name w:val="Placeholder Text"/>
    <w:basedOn w:val="DefaultParagraphFont"/>
    <w:uiPriority w:val="99"/>
    <w:semiHidden/>
    <w:rsid w:val="005708AD"/>
    <w:rPr>
      <w:color w:val="808080"/>
    </w:rPr>
  </w:style>
  <w:style w:type="paragraph" w:styleId="Caption">
    <w:name w:val="caption"/>
    <w:basedOn w:val="Normal"/>
    <w:next w:val="Normal"/>
    <w:uiPriority w:val="99"/>
    <w:qFormat/>
    <w:rsid w:val="00E56EEA"/>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1977880413">
      <w:marLeft w:val="0"/>
      <w:marRight w:val="0"/>
      <w:marTop w:val="0"/>
      <w:marBottom w:val="0"/>
      <w:divBdr>
        <w:top w:val="none" w:sz="0" w:space="0" w:color="auto"/>
        <w:left w:val="none" w:sz="0" w:space="0" w:color="auto"/>
        <w:bottom w:val="none" w:sz="0" w:space="0" w:color="auto"/>
        <w:right w:val="none" w:sz="0" w:space="0" w:color="auto"/>
      </w:divBdr>
    </w:div>
    <w:div w:id="1977880414">
      <w:marLeft w:val="0"/>
      <w:marRight w:val="0"/>
      <w:marTop w:val="0"/>
      <w:marBottom w:val="0"/>
      <w:divBdr>
        <w:top w:val="none" w:sz="0" w:space="0" w:color="auto"/>
        <w:left w:val="none" w:sz="0" w:space="0" w:color="auto"/>
        <w:bottom w:val="none" w:sz="0" w:space="0" w:color="auto"/>
        <w:right w:val="none" w:sz="0" w:space="0" w:color="auto"/>
      </w:divBdr>
    </w:div>
    <w:div w:id="1977880415">
      <w:marLeft w:val="0"/>
      <w:marRight w:val="0"/>
      <w:marTop w:val="0"/>
      <w:marBottom w:val="0"/>
      <w:divBdr>
        <w:top w:val="none" w:sz="0" w:space="0" w:color="auto"/>
        <w:left w:val="none" w:sz="0" w:space="0" w:color="auto"/>
        <w:bottom w:val="none" w:sz="0" w:space="0" w:color="auto"/>
        <w:right w:val="none" w:sz="0" w:space="0" w:color="auto"/>
      </w:divBdr>
    </w:div>
    <w:div w:id="1977880416">
      <w:marLeft w:val="0"/>
      <w:marRight w:val="0"/>
      <w:marTop w:val="0"/>
      <w:marBottom w:val="0"/>
      <w:divBdr>
        <w:top w:val="none" w:sz="0" w:space="0" w:color="auto"/>
        <w:left w:val="none" w:sz="0" w:space="0" w:color="auto"/>
        <w:bottom w:val="none" w:sz="0" w:space="0" w:color="auto"/>
        <w:right w:val="none" w:sz="0" w:space="0" w:color="auto"/>
      </w:divBdr>
    </w:div>
    <w:div w:id="1977880417">
      <w:marLeft w:val="0"/>
      <w:marRight w:val="0"/>
      <w:marTop w:val="0"/>
      <w:marBottom w:val="0"/>
      <w:divBdr>
        <w:top w:val="none" w:sz="0" w:space="0" w:color="auto"/>
        <w:left w:val="none" w:sz="0" w:space="0" w:color="auto"/>
        <w:bottom w:val="none" w:sz="0" w:space="0" w:color="auto"/>
        <w:right w:val="none" w:sz="0" w:space="0" w:color="auto"/>
      </w:divBdr>
    </w:div>
    <w:div w:id="1977880418">
      <w:marLeft w:val="0"/>
      <w:marRight w:val="0"/>
      <w:marTop w:val="0"/>
      <w:marBottom w:val="0"/>
      <w:divBdr>
        <w:top w:val="none" w:sz="0" w:space="0" w:color="auto"/>
        <w:left w:val="none" w:sz="0" w:space="0" w:color="auto"/>
        <w:bottom w:val="none" w:sz="0" w:space="0" w:color="auto"/>
        <w:right w:val="none" w:sz="0" w:space="0" w:color="auto"/>
      </w:divBdr>
    </w:div>
    <w:div w:id="1977880419">
      <w:marLeft w:val="0"/>
      <w:marRight w:val="0"/>
      <w:marTop w:val="0"/>
      <w:marBottom w:val="0"/>
      <w:divBdr>
        <w:top w:val="none" w:sz="0" w:space="0" w:color="auto"/>
        <w:left w:val="none" w:sz="0" w:space="0" w:color="auto"/>
        <w:bottom w:val="none" w:sz="0" w:space="0" w:color="auto"/>
        <w:right w:val="none" w:sz="0" w:space="0" w:color="auto"/>
      </w:divBdr>
    </w:div>
    <w:div w:id="1977880420">
      <w:marLeft w:val="0"/>
      <w:marRight w:val="0"/>
      <w:marTop w:val="0"/>
      <w:marBottom w:val="0"/>
      <w:divBdr>
        <w:top w:val="none" w:sz="0" w:space="0" w:color="auto"/>
        <w:left w:val="none" w:sz="0" w:space="0" w:color="auto"/>
        <w:bottom w:val="none" w:sz="0" w:space="0" w:color="auto"/>
        <w:right w:val="none" w:sz="0" w:space="0" w:color="auto"/>
      </w:divBdr>
    </w:div>
    <w:div w:id="1977880421">
      <w:marLeft w:val="0"/>
      <w:marRight w:val="0"/>
      <w:marTop w:val="0"/>
      <w:marBottom w:val="0"/>
      <w:divBdr>
        <w:top w:val="none" w:sz="0" w:space="0" w:color="auto"/>
        <w:left w:val="none" w:sz="0" w:space="0" w:color="auto"/>
        <w:bottom w:val="none" w:sz="0" w:space="0" w:color="auto"/>
        <w:right w:val="none" w:sz="0" w:space="0" w:color="auto"/>
      </w:divBdr>
    </w:div>
    <w:div w:id="1977880422">
      <w:marLeft w:val="0"/>
      <w:marRight w:val="0"/>
      <w:marTop w:val="0"/>
      <w:marBottom w:val="0"/>
      <w:divBdr>
        <w:top w:val="none" w:sz="0" w:space="0" w:color="auto"/>
        <w:left w:val="none" w:sz="0" w:space="0" w:color="auto"/>
        <w:bottom w:val="none" w:sz="0" w:space="0" w:color="auto"/>
        <w:right w:val="none" w:sz="0" w:space="0" w:color="auto"/>
      </w:divBdr>
    </w:div>
    <w:div w:id="1977880423">
      <w:marLeft w:val="0"/>
      <w:marRight w:val="0"/>
      <w:marTop w:val="0"/>
      <w:marBottom w:val="0"/>
      <w:divBdr>
        <w:top w:val="none" w:sz="0" w:space="0" w:color="auto"/>
        <w:left w:val="none" w:sz="0" w:space="0" w:color="auto"/>
        <w:bottom w:val="none" w:sz="0" w:space="0" w:color="auto"/>
        <w:right w:val="none" w:sz="0" w:space="0" w:color="auto"/>
      </w:divBdr>
    </w:div>
    <w:div w:id="1977880424">
      <w:marLeft w:val="0"/>
      <w:marRight w:val="0"/>
      <w:marTop w:val="0"/>
      <w:marBottom w:val="0"/>
      <w:divBdr>
        <w:top w:val="none" w:sz="0" w:space="0" w:color="auto"/>
        <w:left w:val="none" w:sz="0" w:space="0" w:color="auto"/>
        <w:bottom w:val="none" w:sz="0" w:space="0" w:color="auto"/>
        <w:right w:val="none" w:sz="0" w:space="0" w:color="auto"/>
      </w:divBdr>
    </w:div>
    <w:div w:id="1977880425">
      <w:marLeft w:val="0"/>
      <w:marRight w:val="0"/>
      <w:marTop w:val="0"/>
      <w:marBottom w:val="0"/>
      <w:divBdr>
        <w:top w:val="none" w:sz="0" w:space="0" w:color="auto"/>
        <w:left w:val="none" w:sz="0" w:space="0" w:color="auto"/>
        <w:bottom w:val="none" w:sz="0" w:space="0" w:color="auto"/>
        <w:right w:val="none" w:sz="0" w:space="0" w:color="auto"/>
      </w:divBdr>
    </w:div>
    <w:div w:id="1977880426">
      <w:marLeft w:val="0"/>
      <w:marRight w:val="0"/>
      <w:marTop w:val="0"/>
      <w:marBottom w:val="0"/>
      <w:divBdr>
        <w:top w:val="none" w:sz="0" w:space="0" w:color="auto"/>
        <w:left w:val="none" w:sz="0" w:space="0" w:color="auto"/>
        <w:bottom w:val="none" w:sz="0" w:space="0" w:color="auto"/>
        <w:right w:val="none" w:sz="0" w:space="0" w:color="auto"/>
      </w:divBdr>
    </w:div>
    <w:div w:id="1977880427">
      <w:marLeft w:val="0"/>
      <w:marRight w:val="0"/>
      <w:marTop w:val="0"/>
      <w:marBottom w:val="0"/>
      <w:divBdr>
        <w:top w:val="none" w:sz="0" w:space="0" w:color="auto"/>
        <w:left w:val="none" w:sz="0" w:space="0" w:color="auto"/>
        <w:bottom w:val="none" w:sz="0" w:space="0" w:color="auto"/>
        <w:right w:val="none" w:sz="0" w:space="0" w:color="auto"/>
      </w:divBdr>
    </w:div>
    <w:div w:id="1977880428">
      <w:marLeft w:val="0"/>
      <w:marRight w:val="0"/>
      <w:marTop w:val="0"/>
      <w:marBottom w:val="0"/>
      <w:divBdr>
        <w:top w:val="none" w:sz="0" w:space="0" w:color="auto"/>
        <w:left w:val="none" w:sz="0" w:space="0" w:color="auto"/>
        <w:bottom w:val="none" w:sz="0" w:space="0" w:color="auto"/>
        <w:right w:val="none" w:sz="0" w:space="0" w:color="auto"/>
      </w:divBdr>
    </w:div>
    <w:div w:id="1977880429">
      <w:marLeft w:val="0"/>
      <w:marRight w:val="0"/>
      <w:marTop w:val="0"/>
      <w:marBottom w:val="0"/>
      <w:divBdr>
        <w:top w:val="none" w:sz="0" w:space="0" w:color="auto"/>
        <w:left w:val="none" w:sz="0" w:space="0" w:color="auto"/>
        <w:bottom w:val="none" w:sz="0" w:space="0" w:color="auto"/>
        <w:right w:val="none" w:sz="0" w:space="0" w:color="auto"/>
      </w:divBdr>
    </w:div>
    <w:div w:id="1977880430">
      <w:marLeft w:val="0"/>
      <w:marRight w:val="0"/>
      <w:marTop w:val="0"/>
      <w:marBottom w:val="0"/>
      <w:divBdr>
        <w:top w:val="none" w:sz="0" w:space="0" w:color="auto"/>
        <w:left w:val="none" w:sz="0" w:space="0" w:color="auto"/>
        <w:bottom w:val="none" w:sz="0" w:space="0" w:color="auto"/>
        <w:right w:val="none" w:sz="0" w:space="0" w:color="auto"/>
      </w:divBdr>
    </w:div>
    <w:div w:id="1977880431">
      <w:marLeft w:val="0"/>
      <w:marRight w:val="0"/>
      <w:marTop w:val="0"/>
      <w:marBottom w:val="0"/>
      <w:divBdr>
        <w:top w:val="none" w:sz="0" w:space="0" w:color="auto"/>
        <w:left w:val="none" w:sz="0" w:space="0" w:color="auto"/>
        <w:bottom w:val="none" w:sz="0" w:space="0" w:color="auto"/>
        <w:right w:val="none" w:sz="0" w:space="0" w:color="auto"/>
      </w:divBdr>
    </w:div>
    <w:div w:id="1977880432">
      <w:marLeft w:val="0"/>
      <w:marRight w:val="0"/>
      <w:marTop w:val="0"/>
      <w:marBottom w:val="0"/>
      <w:divBdr>
        <w:top w:val="none" w:sz="0" w:space="0" w:color="auto"/>
        <w:left w:val="none" w:sz="0" w:space="0" w:color="auto"/>
        <w:bottom w:val="none" w:sz="0" w:space="0" w:color="auto"/>
        <w:right w:val="none" w:sz="0" w:space="0" w:color="auto"/>
      </w:divBdr>
    </w:div>
    <w:div w:id="1977880433">
      <w:marLeft w:val="0"/>
      <w:marRight w:val="0"/>
      <w:marTop w:val="0"/>
      <w:marBottom w:val="0"/>
      <w:divBdr>
        <w:top w:val="none" w:sz="0" w:space="0" w:color="auto"/>
        <w:left w:val="none" w:sz="0" w:space="0" w:color="auto"/>
        <w:bottom w:val="none" w:sz="0" w:space="0" w:color="auto"/>
        <w:right w:val="none" w:sz="0" w:space="0" w:color="auto"/>
      </w:divBdr>
    </w:div>
    <w:div w:id="1977880434">
      <w:marLeft w:val="0"/>
      <w:marRight w:val="0"/>
      <w:marTop w:val="0"/>
      <w:marBottom w:val="0"/>
      <w:divBdr>
        <w:top w:val="none" w:sz="0" w:space="0" w:color="auto"/>
        <w:left w:val="none" w:sz="0" w:space="0" w:color="auto"/>
        <w:bottom w:val="none" w:sz="0" w:space="0" w:color="auto"/>
        <w:right w:val="none" w:sz="0" w:space="0" w:color="auto"/>
      </w:divBdr>
    </w:div>
    <w:div w:id="1977880435">
      <w:marLeft w:val="0"/>
      <w:marRight w:val="0"/>
      <w:marTop w:val="0"/>
      <w:marBottom w:val="0"/>
      <w:divBdr>
        <w:top w:val="none" w:sz="0" w:space="0" w:color="auto"/>
        <w:left w:val="none" w:sz="0" w:space="0" w:color="auto"/>
        <w:bottom w:val="none" w:sz="0" w:space="0" w:color="auto"/>
        <w:right w:val="none" w:sz="0" w:space="0" w:color="auto"/>
      </w:divBdr>
    </w:div>
    <w:div w:id="1977880436">
      <w:marLeft w:val="0"/>
      <w:marRight w:val="0"/>
      <w:marTop w:val="0"/>
      <w:marBottom w:val="0"/>
      <w:divBdr>
        <w:top w:val="none" w:sz="0" w:space="0" w:color="auto"/>
        <w:left w:val="none" w:sz="0" w:space="0" w:color="auto"/>
        <w:bottom w:val="none" w:sz="0" w:space="0" w:color="auto"/>
        <w:right w:val="none" w:sz="0" w:space="0" w:color="auto"/>
      </w:divBdr>
    </w:div>
    <w:div w:id="1977880437">
      <w:marLeft w:val="0"/>
      <w:marRight w:val="0"/>
      <w:marTop w:val="0"/>
      <w:marBottom w:val="0"/>
      <w:divBdr>
        <w:top w:val="none" w:sz="0" w:space="0" w:color="auto"/>
        <w:left w:val="none" w:sz="0" w:space="0" w:color="auto"/>
        <w:bottom w:val="none" w:sz="0" w:space="0" w:color="auto"/>
        <w:right w:val="none" w:sz="0" w:space="0" w:color="auto"/>
      </w:divBdr>
    </w:div>
    <w:div w:id="1977880438">
      <w:marLeft w:val="0"/>
      <w:marRight w:val="0"/>
      <w:marTop w:val="0"/>
      <w:marBottom w:val="0"/>
      <w:divBdr>
        <w:top w:val="none" w:sz="0" w:space="0" w:color="auto"/>
        <w:left w:val="none" w:sz="0" w:space="0" w:color="auto"/>
        <w:bottom w:val="none" w:sz="0" w:space="0" w:color="auto"/>
        <w:right w:val="none" w:sz="0" w:space="0" w:color="auto"/>
      </w:divBdr>
    </w:div>
    <w:div w:id="1977880439">
      <w:marLeft w:val="0"/>
      <w:marRight w:val="0"/>
      <w:marTop w:val="0"/>
      <w:marBottom w:val="0"/>
      <w:divBdr>
        <w:top w:val="none" w:sz="0" w:space="0" w:color="auto"/>
        <w:left w:val="none" w:sz="0" w:space="0" w:color="auto"/>
        <w:bottom w:val="none" w:sz="0" w:space="0" w:color="auto"/>
        <w:right w:val="none" w:sz="0" w:space="0" w:color="auto"/>
      </w:divBdr>
    </w:div>
    <w:div w:id="1977880440">
      <w:marLeft w:val="0"/>
      <w:marRight w:val="0"/>
      <w:marTop w:val="0"/>
      <w:marBottom w:val="0"/>
      <w:divBdr>
        <w:top w:val="none" w:sz="0" w:space="0" w:color="auto"/>
        <w:left w:val="none" w:sz="0" w:space="0" w:color="auto"/>
        <w:bottom w:val="none" w:sz="0" w:space="0" w:color="auto"/>
        <w:right w:val="none" w:sz="0" w:space="0" w:color="auto"/>
      </w:divBdr>
    </w:div>
    <w:div w:id="1977880441">
      <w:marLeft w:val="0"/>
      <w:marRight w:val="0"/>
      <w:marTop w:val="0"/>
      <w:marBottom w:val="0"/>
      <w:divBdr>
        <w:top w:val="none" w:sz="0" w:space="0" w:color="auto"/>
        <w:left w:val="none" w:sz="0" w:space="0" w:color="auto"/>
        <w:bottom w:val="none" w:sz="0" w:space="0" w:color="auto"/>
        <w:right w:val="none" w:sz="0" w:space="0" w:color="auto"/>
      </w:divBdr>
    </w:div>
    <w:div w:id="1977880442">
      <w:marLeft w:val="0"/>
      <w:marRight w:val="0"/>
      <w:marTop w:val="0"/>
      <w:marBottom w:val="0"/>
      <w:divBdr>
        <w:top w:val="none" w:sz="0" w:space="0" w:color="auto"/>
        <w:left w:val="none" w:sz="0" w:space="0" w:color="auto"/>
        <w:bottom w:val="none" w:sz="0" w:space="0" w:color="auto"/>
        <w:right w:val="none" w:sz="0" w:space="0" w:color="auto"/>
      </w:divBdr>
    </w:div>
    <w:div w:id="1977880443">
      <w:marLeft w:val="0"/>
      <w:marRight w:val="0"/>
      <w:marTop w:val="0"/>
      <w:marBottom w:val="0"/>
      <w:divBdr>
        <w:top w:val="none" w:sz="0" w:space="0" w:color="auto"/>
        <w:left w:val="none" w:sz="0" w:space="0" w:color="auto"/>
        <w:bottom w:val="none" w:sz="0" w:space="0" w:color="auto"/>
        <w:right w:val="none" w:sz="0" w:space="0" w:color="auto"/>
      </w:divBdr>
    </w:div>
    <w:div w:id="1977880444">
      <w:marLeft w:val="0"/>
      <w:marRight w:val="0"/>
      <w:marTop w:val="0"/>
      <w:marBottom w:val="0"/>
      <w:divBdr>
        <w:top w:val="none" w:sz="0" w:space="0" w:color="auto"/>
        <w:left w:val="none" w:sz="0" w:space="0" w:color="auto"/>
        <w:bottom w:val="none" w:sz="0" w:space="0" w:color="auto"/>
        <w:right w:val="none" w:sz="0" w:space="0" w:color="auto"/>
      </w:divBdr>
    </w:div>
    <w:div w:id="1977880445">
      <w:marLeft w:val="0"/>
      <w:marRight w:val="0"/>
      <w:marTop w:val="0"/>
      <w:marBottom w:val="0"/>
      <w:divBdr>
        <w:top w:val="none" w:sz="0" w:space="0" w:color="auto"/>
        <w:left w:val="none" w:sz="0" w:space="0" w:color="auto"/>
        <w:bottom w:val="none" w:sz="0" w:space="0" w:color="auto"/>
        <w:right w:val="none" w:sz="0" w:space="0" w:color="auto"/>
      </w:divBdr>
    </w:div>
    <w:div w:id="1977880446">
      <w:marLeft w:val="0"/>
      <w:marRight w:val="0"/>
      <w:marTop w:val="0"/>
      <w:marBottom w:val="0"/>
      <w:divBdr>
        <w:top w:val="none" w:sz="0" w:space="0" w:color="auto"/>
        <w:left w:val="none" w:sz="0" w:space="0" w:color="auto"/>
        <w:bottom w:val="none" w:sz="0" w:space="0" w:color="auto"/>
        <w:right w:val="none" w:sz="0" w:space="0" w:color="auto"/>
      </w:divBdr>
    </w:div>
    <w:div w:id="1977880447">
      <w:marLeft w:val="0"/>
      <w:marRight w:val="0"/>
      <w:marTop w:val="0"/>
      <w:marBottom w:val="0"/>
      <w:divBdr>
        <w:top w:val="none" w:sz="0" w:space="0" w:color="auto"/>
        <w:left w:val="none" w:sz="0" w:space="0" w:color="auto"/>
        <w:bottom w:val="none" w:sz="0" w:space="0" w:color="auto"/>
        <w:right w:val="none" w:sz="0" w:space="0" w:color="auto"/>
      </w:divBdr>
    </w:div>
    <w:div w:id="1977880448">
      <w:marLeft w:val="0"/>
      <w:marRight w:val="0"/>
      <w:marTop w:val="0"/>
      <w:marBottom w:val="0"/>
      <w:divBdr>
        <w:top w:val="none" w:sz="0" w:space="0" w:color="auto"/>
        <w:left w:val="none" w:sz="0" w:space="0" w:color="auto"/>
        <w:bottom w:val="none" w:sz="0" w:space="0" w:color="auto"/>
        <w:right w:val="none" w:sz="0" w:space="0" w:color="auto"/>
      </w:divBdr>
    </w:div>
    <w:div w:id="1977880449">
      <w:marLeft w:val="0"/>
      <w:marRight w:val="0"/>
      <w:marTop w:val="0"/>
      <w:marBottom w:val="0"/>
      <w:divBdr>
        <w:top w:val="none" w:sz="0" w:space="0" w:color="auto"/>
        <w:left w:val="none" w:sz="0" w:space="0" w:color="auto"/>
        <w:bottom w:val="none" w:sz="0" w:space="0" w:color="auto"/>
        <w:right w:val="none" w:sz="0" w:space="0" w:color="auto"/>
      </w:divBdr>
    </w:div>
    <w:div w:id="1977880450">
      <w:marLeft w:val="0"/>
      <w:marRight w:val="0"/>
      <w:marTop w:val="0"/>
      <w:marBottom w:val="0"/>
      <w:divBdr>
        <w:top w:val="none" w:sz="0" w:space="0" w:color="auto"/>
        <w:left w:val="none" w:sz="0" w:space="0" w:color="auto"/>
        <w:bottom w:val="none" w:sz="0" w:space="0" w:color="auto"/>
        <w:right w:val="none" w:sz="0" w:space="0" w:color="auto"/>
      </w:divBdr>
    </w:div>
    <w:div w:id="1977880451">
      <w:marLeft w:val="0"/>
      <w:marRight w:val="0"/>
      <w:marTop w:val="0"/>
      <w:marBottom w:val="0"/>
      <w:divBdr>
        <w:top w:val="none" w:sz="0" w:space="0" w:color="auto"/>
        <w:left w:val="none" w:sz="0" w:space="0" w:color="auto"/>
        <w:bottom w:val="none" w:sz="0" w:space="0" w:color="auto"/>
        <w:right w:val="none" w:sz="0" w:space="0" w:color="auto"/>
      </w:divBdr>
    </w:div>
    <w:div w:id="1977880452">
      <w:marLeft w:val="0"/>
      <w:marRight w:val="0"/>
      <w:marTop w:val="0"/>
      <w:marBottom w:val="0"/>
      <w:divBdr>
        <w:top w:val="none" w:sz="0" w:space="0" w:color="auto"/>
        <w:left w:val="none" w:sz="0" w:space="0" w:color="auto"/>
        <w:bottom w:val="none" w:sz="0" w:space="0" w:color="auto"/>
        <w:right w:val="none" w:sz="0" w:space="0" w:color="auto"/>
      </w:divBdr>
    </w:div>
    <w:div w:id="1977880453">
      <w:marLeft w:val="0"/>
      <w:marRight w:val="0"/>
      <w:marTop w:val="0"/>
      <w:marBottom w:val="0"/>
      <w:divBdr>
        <w:top w:val="none" w:sz="0" w:space="0" w:color="auto"/>
        <w:left w:val="none" w:sz="0" w:space="0" w:color="auto"/>
        <w:bottom w:val="none" w:sz="0" w:space="0" w:color="auto"/>
        <w:right w:val="none" w:sz="0" w:space="0" w:color="auto"/>
      </w:divBdr>
    </w:div>
    <w:div w:id="1977880454">
      <w:marLeft w:val="0"/>
      <w:marRight w:val="0"/>
      <w:marTop w:val="0"/>
      <w:marBottom w:val="0"/>
      <w:divBdr>
        <w:top w:val="none" w:sz="0" w:space="0" w:color="auto"/>
        <w:left w:val="none" w:sz="0" w:space="0" w:color="auto"/>
        <w:bottom w:val="none" w:sz="0" w:space="0" w:color="auto"/>
        <w:right w:val="none" w:sz="0" w:space="0" w:color="auto"/>
      </w:divBdr>
    </w:div>
    <w:div w:id="1977880455">
      <w:marLeft w:val="0"/>
      <w:marRight w:val="0"/>
      <w:marTop w:val="0"/>
      <w:marBottom w:val="0"/>
      <w:divBdr>
        <w:top w:val="none" w:sz="0" w:space="0" w:color="auto"/>
        <w:left w:val="none" w:sz="0" w:space="0" w:color="auto"/>
        <w:bottom w:val="none" w:sz="0" w:space="0" w:color="auto"/>
        <w:right w:val="none" w:sz="0" w:space="0" w:color="auto"/>
      </w:divBdr>
    </w:div>
    <w:div w:id="1977880456">
      <w:marLeft w:val="0"/>
      <w:marRight w:val="0"/>
      <w:marTop w:val="0"/>
      <w:marBottom w:val="0"/>
      <w:divBdr>
        <w:top w:val="none" w:sz="0" w:space="0" w:color="auto"/>
        <w:left w:val="none" w:sz="0" w:space="0" w:color="auto"/>
        <w:bottom w:val="none" w:sz="0" w:space="0" w:color="auto"/>
        <w:right w:val="none" w:sz="0" w:space="0" w:color="auto"/>
      </w:divBdr>
    </w:div>
    <w:div w:id="1977880457">
      <w:marLeft w:val="0"/>
      <w:marRight w:val="0"/>
      <w:marTop w:val="0"/>
      <w:marBottom w:val="0"/>
      <w:divBdr>
        <w:top w:val="none" w:sz="0" w:space="0" w:color="auto"/>
        <w:left w:val="none" w:sz="0" w:space="0" w:color="auto"/>
        <w:bottom w:val="none" w:sz="0" w:space="0" w:color="auto"/>
        <w:right w:val="none" w:sz="0" w:space="0" w:color="auto"/>
      </w:divBdr>
    </w:div>
    <w:div w:id="1977880458">
      <w:marLeft w:val="0"/>
      <w:marRight w:val="0"/>
      <w:marTop w:val="0"/>
      <w:marBottom w:val="0"/>
      <w:divBdr>
        <w:top w:val="none" w:sz="0" w:space="0" w:color="auto"/>
        <w:left w:val="none" w:sz="0" w:space="0" w:color="auto"/>
        <w:bottom w:val="none" w:sz="0" w:space="0" w:color="auto"/>
        <w:right w:val="none" w:sz="0" w:space="0" w:color="auto"/>
      </w:divBdr>
    </w:div>
    <w:div w:id="1977880461">
      <w:marLeft w:val="0"/>
      <w:marRight w:val="0"/>
      <w:marTop w:val="0"/>
      <w:marBottom w:val="0"/>
      <w:divBdr>
        <w:top w:val="none" w:sz="0" w:space="0" w:color="auto"/>
        <w:left w:val="none" w:sz="0" w:space="0" w:color="auto"/>
        <w:bottom w:val="none" w:sz="0" w:space="0" w:color="auto"/>
        <w:right w:val="none" w:sz="0" w:space="0" w:color="auto"/>
      </w:divBdr>
    </w:div>
    <w:div w:id="1977880462">
      <w:marLeft w:val="0"/>
      <w:marRight w:val="0"/>
      <w:marTop w:val="0"/>
      <w:marBottom w:val="0"/>
      <w:divBdr>
        <w:top w:val="none" w:sz="0" w:space="0" w:color="auto"/>
        <w:left w:val="none" w:sz="0" w:space="0" w:color="auto"/>
        <w:bottom w:val="none" w:sz="0" w:space="0" w:color="auto"/>
        <w:right w:val="none" w:sz="0" w:space="0" w:color="auto"/>
      </w:divBdr>
    </w:div>
    <w:div w:id="1977880463">
      <w:marLeft w:val="0"/>
      <w:marRight w:val="0"/>
      <w:marTop w:val="0"/>
      <w:marBottom w:val="0"/>
      <w:divBdr>
        <w:top w:val="none" w:sz="0" w:space="0" w:color="auto"/>
        <w:left w:val="none" w:sz="0" w:space="0" w:color="auto"/>
        <w:bottom w:val="none" w:sz="0" w:space="0" w:color="auto"/>
        <w:right w:val="none" w:sz="0" w:space="0" w:color="auto"/>
      </w:divBdr>
    </w:div>
    <w:div w:id="1977880464">
      <w:marLeft w:val="0"/>
      <w:marRight w:val="0"/>
      <w:marTop w:val="0"/>
      <w:marBottom w:val="0"/>
      <w:divBdr>
        <w:top w:val="none" w:sz="0" w:space="0" w:color="auto"/>
        <w:left w:val="none" w:sz="0" w:space="0" w:color="auto"/>
        <w:bottom w:val="none" w:sz="0" w:space="0" w:color="auto"/>
        <w:right w:val="none" w:sz="0" w:space="0" w:color="auto"/>
      </w:divBdr>
    </w:div>
    <w:div w:id="1977880465">
      <w:marLeft w:val="0"/>
      <w:marRight w:val="0"/>
      <w:marTop w:val="0"/>
      <w:marBottom w:val="0"/>
      <w:divBdr>
        <w:top w:val="none" w:sz="0" w:space="0" w:color="auto"/>
        <w:left w:val="none" w:sz="0" w:space="0" w:color="auto"/>
        <w:bottom w:val="none" w:sz="0" w:space="0" w:color="auto"/>
        <w:right w:val="none" w:sz="0" w:space="0" w:color="auto"/>
      </w:divBdr>
    </w:div>
    <w:div w:id="1977880466">
      <w:marLeft w:val="0"/>
      <w:marRight w:val="0"/>
      <w:marTop w:val="0"/>
      <w:marBottom w:val="0"/>
      <w:divBdr>
        <w:top w:val="none" w:sz="0" w:space="0" w:color="auto"/>
        <w:left w:val="none" w:sz="0" w:space="0" w:color="auto"/>
        <w:bottom w:val="none" w:sz="0" w:space="0" w:color="auto"/>
        <w:right w:val="none" w:sz="0" w:space="0" w:color="auto"/>
      </w:divBdr>
    </w:div>
    <w:div w:id="1977880467">
      <w:marLeft w:val="0"/>
      <w:marRight w:val="0"/>
      <w:marTop w:val="0"/>
      <w:marBottom w:val="0"/>
      <w:divBdr>
        <w:top w:val="none" w:sz="0" w:space="0" w:color="auto"/>
        <w:left w:val="none" w:sz="0" w:space="0" w:color="auto"/>
        <w:bottom w:val="none" w:sz="0" w:space="0" w:color="auto"/>
        <w:right w:val="none" w:sz="0" w:space="0" w:color="auto"/>
      </w:divBdr>
    </w:div>
    <w:div w:id="1977880468">
      <w:marLeft w:val="0"/>
      <w:marRight w:val="0"/>
      <w:marTop w:val="0"/>
      <w:marBottom w:val="0"/>
      <w:divBdr>
        <w:top w:val="none" w:sz="0" w:space="0" w:color="auto"/>
        <w:left w:val="none" w:sz="0" w:space="0" w:color="auto"/>
        <w:bottom w:val="none" w:sz="0" w:space="0" w:color="auto"/>
        <w:right w:val="none" w:sz="0" w:space="0" w:color="auto"/>
      </w:divBdr>
    </w:div>
    <w:div w:id="1977880469">
      <w:marLeft w:val="0"/>
      <w:marRight w:val="0"/>
      <w:marTop w:val="0"/>
      <w:marBottom w:val="0"/>
      <w:divBdr>
        <w:top w:val="none" w:sz="0" w:space="0" w:color="auto"/>
        <w:left w:val="none" w:sz="0" w:space="0" w:color="auto"/>
        <w:bottom w:val="none" w:sz="0" w:space="0" w:color="auto"/>
        <w:right w:val="none" w:sz="0" w:space="0" w:color="auto"/>
      </w:divBdr>
    </w:div>
    <w:div w:id="1977880470">
      <w:marLeft w:val="0"/>
      <w:marRight w:val="0"/>
      <w:marTop w:val="0"/>
      <w:marBottom w:val="0"/>
      <w:divBdr>
        <w:top w:val="none" w:sz="0" w:space="0" w:color="auto"/>
        <w:left w:val="none" w:sz="0" w:space="0" w:color="auto"/>
        <w:bottom w:val="none" w:sz="0" w:space="0" w:color="auto"/>
        <w:right w:val="none" w:sz="0" w:space="0" w:color="auto"/>
      </w:divBdr>
    </w:div>
    <w:div w:id="1977880471">
      <w:marLeft w:val="0"/>
      <w:marRight w:val="0"/>
      <w:marTop w:val="0"/>
      <w:marBottom w:val="0"/>
      <w:divBdr>
        <w:top w:val="none" w:sz="0" w:space="0" w:color="auto"/>
        <w:left w:val="none" w:sz="0" w:space="0" w:color="auto"/>
        <w:bottom w:val="none" w:sz="0" w:space="0" w:color="auto"/>
        <w:right w:val="none" w:sz="0" w:space="0" w:color="auto"/>
      </w:divBdr>
    </w:div>
    <w:div w:id="1977880472">
      <w:marLeft w:val="0"/>
      <w:marRight w:val="0"/>
      <w:marTop w:val="0"/>
      <w:marBottom w:val="0"/>
      <w:divBdr>
        <w:top w:val="none" w:sz="0" w:space="0" w:color="auto"/>
        <w:left w:val="none" w:sz="0" w:space="0" w:color="auto"/>
        <w:bottom w:val="none" w:sz="0" w:space="0" w:color="auto"/>
        <w:right w:val="none" w:sz="0" w:space="0" w:color="auto"/>
      </w:divBdr>
    </w:div>
    <w:div w:id="1977880473">
      <w:marLeft w:val="0"/>
      <w:marRight w:val="0"/>
      <w:marTop w:val="0"/>
      <w:marBottom w:val="0"/>
      <w:divBdr>
        <w:top w:val="none" w:sz="0" w:space="0" w:color="auto"/>
        <w:left w:val="none" w:sz="0" w:space="0" w:color="auto"/>
        <w:bottom w:val="none" w:sz="0" w:space="0" w:color="auto"/>
        <w:right w:val="none" w:sz="0" w:space="0" w:color="auto"/>
      </w:divBdr>
    </w:div>
    <w:div w:id="1977880474">
      <w:marLeft w:val="0"/>
      <w:marRight w:val="0"/>
      <w:marTop w:val="0"/>
      <w:marBottom w:val="0"/>
      <w:divBdr>
        <w:top w:val="none" w:sz="0" w:space="0" w:color="auto"/>
        <w:left w:val="none" w:sz="0" w:space="0" w:color="auto"/>
        <w:bottom w:val="none" w:sz="0" w:space="0" w:color="auto"/>
        <w:right w:val="none" w:sz="0" w:space="0" w:color="auto"/>
      </w:divBdr>
    </w:div>
    <w:div w:id="1977880475">
      <w:marLeft w:val="0"/>
      <w:marRight w:val="0"/>
      <w:marTop w:val="0"/>
      <w:marBottom w:val="0"/>
      <w:divBdr>
        <w:top w:val="none" w:sz="0" w:space="0" w:color="auto"/>
        <w:left w:val="none" w:sz="0" w:space="0" w:color="auto"/>
        <w:bottom w:val="none" w:sz="0" w:space="0" w:color="auto"/>
        <w:right w:val="none" w:sz="0" w:space="0" w:color="auto"/>
      </w:divBdr>
    </w:div>
    <w:div w:id="1977880476">
      <w:marLeft w:val="0"/>
      <w:marRight w:val="0"/>
      <w:marTop w:val="0"/>
      <w:marBottom w:val="0"/>
      <w:divBdr>
        <w:top w:val="none" w:sz="0" w:space="0" w:color="auto"/>
        <w:left w:val="none" w:sz="0" w:space="0" w:color="auto"/>
        <w:bottom w:val="none" w:sz="0" w:space="0" w:color="auto"/>
        <w:right w:val="none" w:sz="0" w:space="0" w:color="auto"/>
      </w:divBdr>
    </w:div>
    <w:div w:id="1977880478">
      <w:marLeft w:val="0"/>
      <w:marRight w:val="0"/>
      <w:marTop w:val="0"/>
      <w:marBottom w:val="0"/>
      <w:divBdr>
        <w:top w:val="none" w:sz="0" w:space="0" w:color="auto"/>
        <w:left w:val="none" w:sz="0" w:space="0" w:color="auto"/>
        <w:bottom w:val="none" w:sz="0" w:space="0" w:color="auto"/>
        <w:right w:val="none" w:sz="0" w:space="0" w:color="auto"/>
      </w:divBdr>
    </w:div>
    <w:div w:id="1977880479">
      <w:marLeft w:val="0"/>
      <w:marRight w:val="0"/>
      <w:marTop w:val="0"/>
      <w:marBottom w:val="0"/>
      <w:divBdr>
        <w:top w:val="none" w:sz="0" w:space="0" w:color="auto"/>
        <w:left w:val="none" w:sz="0" w:space="0" w:color="auto"/>
        <w:bottom w:val="none" w:sz="0" w:space="0" w:color="auto"/>
        <w:right w:val="none" w:sz="0" w:space="0" w:color="auto"/>
      </w:divBdr>
    </w:div>
    <w:div w:id="1977880480">
      <w:marLeft w:val="0"/>
      <w:marRight w:val="0"/>
      <w:marTop w:val="0"/>
      <w:marBottom w:val="0"/>
      <w:divBdr>
        <w:top w:val="none" w:sz="0" w:space="0" w:color="auto"/>
        <w:left w:val="none" w:sz="0" w:space="0" w:color="auto"/>
        <w:bottom w:val="none" w:sz="0" w:space="0" w:color="auto"/>
        <w:right w:val="none" w:sz="0" w:space="0" w:color="auto"/>
      </w:divBdr>
    </w:div>
    <w:div w:id="1977880481">
      <w:marLeft w:val="0"/>
      <w:marRight w:val="0"/>
      <w:marTop w:val="0"/>
      <w:marBottom w:val="0"/>
      <w:divBdr>
        <w:top w:val="none" w:sz="0" w:space="0" w:color="auto"/>
        <w:left w:val="none" w:sz="0" w:space="0" w:color="auto"/>
        <w:bottom w:val="none" w:sz="0" w:space="0" w:color="auto"/>
        <w:right w:val="none" w:sz="0" w:space="0" w:color="auto"/>
      </w:divBdr>
    </w:div>
    <w:div w:id="1977880482">
      <w:marLeft w:val="0"/>
      <w:marRight w:val="0"/>
      <w:marTop w:val="0"/>
      <w:marBottom w:val="0"/>
      <w:divBdr>
        <w:top w:val="none" w:sz="0" w:space="0" w:color="auto"/>
        <w:left w:val="none" w:sz="0" w:space="0" w:color="auto"/>
        <w:bottom w:val="none" w:sz="0" w:space="0" w:color="auto"/>
        <w:right w:val="none" w:sz="0" w:space="0" w:color="auto"/>
      </w:divBdr>
    </w:div>
    <w:div w:id="1977880483">
      <w:marLeft w:val="0"/>
      <w:marRight w:val="0"/>
      <w:marTop w:val="0"/>
      <w:marBottom w:val="0"/>
      <w:divBdr>
        <w:top w:val="none" w:sz="0" w:space="0" w:color="auto"/>
        <w:left w:val="none" w:sz="0" w:space="0" w:color="auto"/>
        <w:bottom w:val="none" w:sz="0" w:space="0" w:color="auto"/>
        <w:right w:val="none" w:sz="0" w:space="0" w:color="auto"/>
      </w:divBdr>
    </w:div>
    <w:div w:id="1977880484">
      <w:marLeft w:val="0"/>
      <w:marRight w:val="0"/>
      <w:marTop w:val="0"/>
      <w:marBottom w:val="0"/>
      <w:divBdr>
        <w:top w:val="none" w:sz="0" w:space="0" w:color="auto"/>
        <w:left w:val="none" w:sz="0" w:space="0" w:color="auto"/>
        <w:bottom w:val="none" w:sz="0" w:space="0" w:color="auto"/>
        <w:right w:val="none" w:sz="0" w:space="0" w:color="auto"/>
      </w:divBdr>
    </w:div>
    <w:div w:id="1977880485">
      <w:marLeft w:val="0"/>
      <w:marRight w:val="0"/>
      <w:marTop w:val="0"/>
      <w:marBottom w:val="0"/>
      <w:divBdr>
        <w:top w:val="none" w:sz="0" w:space="0" w:color="auto"/>
        <w:left w:val="none" w:sz="0" w:space="0" w:color="auto"/>
        <w:bottom w:val="none" w:sz="0" w:space="0" w:color="auto"/>
        <w:right w:val="none" w:sz="0" w:space="0" w:color="auto"/>
      </w:divBdr>
    </w:div>
    <w:div w:id="1977880486">
      <w:marLeft w:val="0"/>
      <w:marRight w:val="0"/>
      <w:marTop w:val="0"/>
      <w:marBottom w:val="0"/>
      <w:divBdr>
        <w:top w:val="none" w:sz="0" w:space="0" w:color="auto"/>
        <w:left w:val="none" w:sz="0" w:space="0" w:color="auto"/>
        <w:bottom w:val="none" w:sz="0" w:space="0" w:color="auto"/>
        <w:right w:val="none" w:sz="0" w:space="0" w:color="auto"/>
      </w:divBdr>
    </w:div>
    <w:div w:id="1977880488">
      <w:marLeft w:val="0"/>
      <w:marRight w:val="0"/>
      <w:marTop w:val="0"/>
      <w:marBottom w:val="0"/>
      <w:divBdr>
        <w:top w:val="none" w:sz="0" w:space="0" w:color="auto"/>
        <w:left w:val="none" w:sz="0" w:space="0" w:color="auto"/>
        <w:bottom w:val="none" w:sz="0" w:space="0" w:color="auto"/>
        <w:right w:val="none" w:sz="0" w:space="0" w:color="auto"/>
      </w:divBdr>
    </w:div>
    <w:div w:id="1977880489">
      <w:marLeft w:val="0"/>
      <w:marRight w:val="0"/>
      <w:marTop w:val="0"/>
      <w:marBottom w:val="0"/>
      <w:divBdr>
        <w:top w:val="none" w:sz="0" w:space="0" w:color="auto"/>
        <w:left w:val="none" w:sz="0" w:space="0" w:color="auto"/>
        <w:bottom w:val="none" w:sz="0" w:space="0" w:color="auto"/>
        <w:right w:val="none" w:sz="0" w:space="0" w:color="auto"/>
      </w:divBdr>
    </w:div>
    <w:div w:id="1977880490">
      <w:marLeft w:val="0"/>
      <w:marRight w:val="0"/>
      <w:marTop w:val="0"/>
      <w:marBottom w:val="0"/>
      <w:divBdr>
        <w:top w:val="none" w:sz="0" w:space="0" w:color="auto"/>
        <w:left w:val="none" w:sz="0" w:space="0" w:color="auto"/>
        <w:bottom w:val="none" w:sz="0" w:space="0" w:color="auto"/>
        <w:right w:val="none" w:sz="0" w:space="0" w:color="auto"/>
      </w:divBdr>
    </w:div>
    <w:div w:id="1977880491">
      <w:marLeft w:val="0"/>
      <w:marRight w:val="0"/>
      <w:marTop w:val="0"/>
      <w:marBottom w:val="0"/>
      <w:divBdr>
        <w:top w:val="none" w:sz="0" w:space="0" w:color="auto"/>
        <w:left w:val="none" w:sz="0" w:space="0" w:color="auto"/>
        <w:bottom w:val="none" w:sz="0" w:space="0" w:color="auto"/>
        <w:right w:val="none" w:sz="0" w:space="0" w:color="auto"/>
      </w:divBdr>
    </w:div>
    <w:div w:id="1977880492">
      <w:marLeft w:val="0"/>
      <w:marRight w:val="0"/>
      <w:marTop w:val="0"/>
      <w:marBottom w:val="0"/>
      <w:divBdr>
        <w:top w:val="none" w:sz="0" w:space="0" w:color="auto"/>
        <w:left w:val="none" w:sz="0" w:space="0" w:color="auto"/>
        <w:bottom w:val="none" w:sz="0" w:space="0" w:color="auto"/>
        <w:right w:val="none" w:sz="0" w:space="0" w:color="auto"/>
      </w:divBdr>
    </w:div>
    <w:div w:id="1977880493">
      <w:marLeft w:val="0"/>
      <w:marRight w:val="0"/>
      <w:marTop w:val="0"/>
      <w:marBottom w:val="0"/>
      <w:divBdr>
        <w:top w:val="none" w:sz="0" w:space="0" w:color="auto"/>
        <w:left w:val="none" w:sz="0" w:space="0" w:color="auto"/>
        <w:bottom w:val="none" w:sz="0" w:space="0" w:color="auto"/>
        <w:right w:val="none" w:sz="0" w:space="0" w:color="auto"/>
      </w:divBdr>
    </w:div>
    <w:div w:id="1977880494">
      <w:marLeft w:val="0"/>
      <w:marRight w:val="0"/>
      <w:marTop w:val="0"/>
      <w:marBottom w:val="0"/>
      <w:divBdr>
        <w:top w:val="none" w:sz="0" w:space="0" w:color="auto"/>
        <w:left w:val="none" w:sz="0" w:space="0" w:color="auto"/>
        <w:bottom w:val="none" w:sz="0" w:space="0" w:color="auto"/>
        <w:right w:val="none" w:sz="0" w:space="0" w:color="auto"/>
      </w:divBdr>
    </w:div>
    <w:div w:id="1977880495">
      <w:marLeft w:val="0"/>
      <w:marRight w:val="0"/>
      <w:marTop w:val="0"/>
      <w:marBottom w:val="0"/>
      <w:divBdr>
        <w:top w:val="none" w:sz="0" w:space="0" w:color="auto"/>
        <w:left w:val="none" w:sz="0" w:space="0" w:color="auto"/>
        <w:bottom w:val="none" w:sz="0" w:space="0" w:color="auto"/>
        <w:right w:val="none" w:sz="0" w:space="0" w:color="auto"/>
      </w:divBdr>
    </w:div>
    <w:div w:id="1977880496">
      <w:marLeft w:val="0"/>
      <w:marRight w:val="0"/>
      <w:marTop w:val="0"/>
      <w:marBottom w:val="0"/>
      <w:divBdr>
        <w:top w:val="none" w:sz="0" w:space="0" w:color="auto"/>
        <w:left w:val="none" w:sz="0" w:space="0" w:color="auto"/>
        <w:bottom w:val="none" w:sz="0" w:space="0" w:color="auto"/>
        <w:right w:val="none" w:sz="0" w:space="0" w:color="auto"/>
      </w:divBdr>
    </w:div>
    <w:div w:id="1977880497">
      <w:marLeft w:val="0"/>
      <w:marRight w:val="0"/>
      <w:marTop w:val="0"/>
      <w:marBottom w:val="0"/>
      <w:divBdr>
        <w:top w:val="none" w:sz="0" w:space="0" w:color="auto"/>
        <w:left w:val="none" w:sz="0" w:space="0" w:color="auto"/>
        <w:bottom w:val="none" w:sz="0" w:space="0" w:color="auto"/>
        <w:right w:val="none" w:sz="0" w:space="0" w:color="auto"/>
      </w:divBdr>
    </w:div>
    <w:div w:id="1977880498">
      <w:marLeft w:val="0"/>
      <w:marRight w:val="0"/>
      <w:marTop w:val="0"/>
      <w:marBottom w:val="0"/>
      <w:divBdr>
        <w:top w:val="none" w:sz="0" w:space="0" w:color="auto"/>
        <w:left w:val="none" w:sz="0" w:space="0" w:color="auto"/>
        <w:bottom w:val="none" w:sz="0" w:space="0" w:color="auto"/>
        <w:right w:val="none" w:sz="0" w:space="0" w:color="auto"/>
      </w:divBdr>
    </w:div>
    <w:div w:id="1977880499">
      <w:marLeft w:val="0"/>
      <w:marRight w:val="0"/>
      <w:marTop w:val="0"/>
      <w:marBottom w:val="0"/>
      <w:divBdr>
        <w:top w:val="none" w:sz="0" w:space="0" w:color="auto"/>
        <w:left w:val="none" w:sz="0" w:space="0" w:color="auto"/>
        <w:bottom w:val="none" w:sz="0" w:space="0" w:color="auto"/>
        <w:right w:val="none" w:sz="0" w:space="0" w:color="auto"/>
      </w:divBdr>
    </w:div>
    <w:div w:id="1977880500">
      <w:marLeft w:val="0"/>
      <w:marRight w:val="0"/>
      <w:marTop w:val="0"/>
      <w:marBottom w:val="0"/>
      <w:divBdr>
        <w:top w:val="none" w:sz="0" w:space="0" w:color="auto"/>
        <w:left w:val="none" w:sz="0" w:space="0" w:color="auto"/>
        <w:bottom w:val="none" w:sz="0" w:space="0" w:color="auto"/>
        <w:right w:val="none" w:sz="0" w:space="0" w:color="auto"/>
      </w:divBdr>
    </w:div>
    <w:div w:id="1977880501">
      <w:marLeft w:val="0"/>
      <w:marRight w:val="0"/>
      <w:marTop w:val="0"/>
      <w:marBottom w:val="0"/>
      <w:divBdr>
        <w:top w:val="none" w:sz="0" w:space="0" w:color="auto"/>
        <w:left w:val="none" w:sz="0" w:space="0" w:color="auto"/>
        <w:bottom w:val="none" w:sz="0" w:space="0" w:color="auto"/>
        <w:right w:val="none" w:sz="0" w:space="0" w:color="auto"/>
      </w:divBdr>
    </w:div>
    <w:div w:id="1977880502">
      <w:marLeft w:val="0"/>
      <w:marRight w:val="0"/>
      <w:marTop w:val="0"/>
      <w:marBottom w:val="0"/>
      <w:divBdr>
        <w:top w:val="none" w:sz="0" w:space="0" w:color="auto"/>
        <w:left w:val="none" w:sz="0" w:space="0" w:color="auto"/>
        <w:bottom w:val="none" w:sz="0" w:space="0" w:color="auto"/>
        <w:right w:val="none" w:sz="0" w:space="0" w:color="auto"/>
      </w:divBdr>
    </w:div>
    <w:div w:id="1977880503">
      <w:marLeft w:val="0"/>
      <w:marRight w:val="0"/>
      <w:marTop w:val="0"/>
      <w:marBottom w:val="0"/>
      <w:divBdr>
        <w:top w:val="none" w:sz="0" w:space="0" w:color="auto"/>
        <w:left w:val="none" w:sz="0" w:space="0" w:color="auto"/>
        <w:bottom w:val="none" w:sz="0" w:space="0" w:color="auto"/>
        <w:right w:val="none" w:sz="0" w:space="0" w:color="auto"/>
      </w:divBdr>
    </w:div>
    <w:div w:id="1977880504">
      <w:marLeft w:val="0"/>
      <w:marRight w:val="0"/>
      <w:marTop w:val="0"/>
      <w:marBottom w:val="0"/>
      <w:divBdr>
        <w:top w:val="none" w:sz="0" w:space="0" w:color="auto"/>
        <w:left w:val="none" w:sz="0" w:space="0" w:color="auto"/>
        <w:bottom w:val="none" w:sz="0" w:space="0" w:color="auto"/>
        <w:right w:val="none" w:sz="0" w:space="0" w:color="auto"/>
      </w:divBdr>
    </w:div>
    <w:div w:id="1977880505">
      <w:marLeft w:val="0"/>
      <w:marRight w:val="0"/>
      <w:marTop w:val="0"/>
      <w:marBottom w:val="0"/>
      <w:divBdr>
        <w:top w:val="none" w:sz="0" w:space="0" w:color="auto"/>
        <w:left w:val="none" w:sz="0" w:space="0" w:color="auto"/>
        <w:bottom w:val="none" w:sz="0" w:space="0" w:color="auto"/>
        <w:right w:val="none" w:sz="0" w:space="0" w:color="auto"/>
      </w:divBdr>
    </w:div>
    <w:div w:id="1977880506">
      <w:marLeft w:val="0"/>
      <w:marRight w:val="0"/>
      <w:marTop w:val="0"/>
      <w:marBottom w:val="0"/>
      <w:divBdr>
        <w:top w:val="none" w:sz="0" w:space="0" w:color="auto"/>
        <w:left w:val="none" w:sz="0" w:space="0" w:color="auto"/>
        <w:bottom w:val="none" w:sz="0" w:space="0" w:color="auto"/>
        <w:right w:val="none" w:sz="0" w:space="0" w:color="auto"/>
      </w:divBdr>
    </w:div>
    <w:div w:id="1977880507">
      <w:marLeft w:val="0"/>
      <w:marRight w:val="0"/>
      <w:marTop w:val="0"/>
      <w:marBottom w:val="0"/>
      <w:divBdr>
        <w:top w:val="none" w:sz="0" w:space="0" w:color="auto"/>
        <w:left w:val="none" w:sz="0" w:space="0" w:color="auto"/>
        <w:bottom w:val="none" w:sz="0" w:space="0" w:color="auto"/>
        <w:right w:val="none" w:sz="0" w:space="0" w:color="auto"/>
      </w:divBdr>
    </w:div>
    <w:div w:id="1977880508">
      <w:marLeft w:val="0"/>
      <w:marRight w:val="0"/>
      <w:marTop w:val="0"/>
      <w:marBottom w:val="0"/>
      <w:divBdr>
        <w:top w:val="none" w:sz="0" w:space="0" w:color="auto"/>
        <w:left w:val="none" w:sz="0" w:space="0" w:color="auto"/>
        <w:bottom w:val="none" w:sz="0" w:space="0" w:color="auto"/>
        <w:right w:val="none" w:sz="0" w:space="0" w:color="auto"/>
      </w:divBdr>
    </w:div>
    <w:div w:id="1977880509">
      <w:marLeft w:val="0"/>
      <w:marRight w:val="0"/>
      <w:marTop w:val="0"/>
      <w:marBottom w:val="0"/>
      <w:divBdr>
        <w:top w:val="none" w:sz="0" w:space="0" w:color="auto"/>
        <w:left w:val="none" w:sz="0" w:space="0" w:color="auto"/>
        <w:bottom w:val="none" w:sz="0" w:space="0" w:color="auto"/>
        <w:right w:val="none" w:sz="0" w:space="0" w:color="auto"/>
      </w:divBdr>
    </w:div>
    <w:div w:id="1977880510">
      <w:marLeft w:val="0"/>
      <w:marRight w:val="0"/>
      <w:marTop w:val="0"/>
      <w:marBottom w:val="0"/>
      <w:divBdr>
        <w:top w:val="none" w:sz="0" w:space="0" w:color="auto"/>
        <w:left w:val="none" w:sz="0" w:space="0" w:color="auto"/>
        <w:bottom w:val="none" w:sz="0" w:space="0" w:color="auto"/>
        <w:right w:val="none" w:sz="0" w:space="0" w:color="auto"/>
      </w:divBdr>
    </w:div>
    <w:div w:id="1977880511">
      <w:marLeft w:val="0"/>
      <w:marRight w:val="0"/>
      <w:marTop w:val="0"/>
      <w:marBottom w:val="0"/>
      <w:divBdr>
        <w:top w:val="none" w:sz="0" w:space="0" w:color="auto"/>
        <w:left w:val="none" w:sz="0" w:space="0" w:color="auto"/>
        <w:bottom w:val="none" w:sz="0" w:space="0" w:color="auto"/>
        <w:right w:val="none" w:sz="0" w:space="0" w:color="auto"/>
      </w:divBdr>
    </w:div>
    <w:div w:id="1977880512">
      <w:marLeft w:val="0"/>
      <w:marRight w:val="0"/>
      <w:marTop w:val="0"/>
      <w:marBottom w:val="0"/>
      <w:divBdr>
        <w:top w:val="none" w:sz="0" w:space="0" w:color="auto"/>
        <w:left w:val="none" w:sz="0" w:space="0" w:color="auto"/>
        <w:bottom w:val="none" w:sz="0" w:space="0" w:color="auto"/>
        <w:right w:val="none" w:sz="0" w:space="0" w:color="auto"/>
      </w:divBdr>
    </w:div>
    <w:div w:id="1977880513">
      <w:marLeft w:val="0"/>
      <w:marRight w:val="0"/>
      <w:marTop w:val="0"/>
      <w:marBottom w:val="0"/>
      <w:divBdr>
        <w:top w:val="none" w:sz="0" w:space="0" w:color="auto"/>
        <w:left w:val="none" w:sz="0" w:space="0" w:color="auto"/>
        <w:bottom w:val="none" w:sz="0" w:space="0" w:color="auto"/>
        <w:right w:val="none" w:sz="0" w:space="0" w:color="auto"/>
      </w:divBdr>
    </w:div>
    <w:div w:id="1977880514">
      <w:marLeft w:val="0"/>
      <w:marRight w:val="0"/>
      <w:marTop w:val="0"/>
      <w:marBottom w:val="0"/>
      <w:divBdr>
        <w:top w:val="none" w:sz="0" w:space="0" w:color="auto"/>
        <w:left w:val="none" w:sz="0" w:space="0" w:color="auto"/>
        <w:bottom w:val="none" w:sz="0" w:space="0" w:color="auto"/>
        <w:right w:val="none" w:sz="0" w:space="0" w:color="auto"/>
      </w:divBdr>
    </w:div>
    <w:div w:id="1977880515">
      <w:marLeft w:val="0"/>
      <w:marRight w:val="0"/>
      <w:marTop w:val="0"/>
      <w:marBottom w:val="0"/>
      <w:divBdr>
        <w:top w:val="none" w:sz="0" w:space="0" w:color="auto"/>
        <w:left w:val="none" w:sz="0" w:space="0" w:color="auto"/>
        <w:bottom w:val="none" w:sz="0" w:space="0" w:color="auto"/>
        <w:right w:val="none" w:sz="0" w:space="0" w:color="auto"/>
      </w:divBdr>
    </w:div>
    <w:div w:id="1977880516">
      <w:marLeft w:val="0"/>
      <w:marRight w:val="0"/>
      <w:marTop w:val="0"/>
      <w:marBottom w:val="0"/>
      <w:divBdr>
        <w:top w:val="none" w:sz="0" w:space="0" w:color="auto"/>
        <w:left w:val="none" w:sz="0" w:space="0" w:color="auto"/>
        <w:bottom w:val="none" w:sz="0" w:space="0" w:color="auto"/>
        <w:right w:val="none" w:sz="0" w:space="0" w:color="auto"/>
      </w:divBdr>
    </w:div>
    <w:div w:id="1977880517">
      <w:marLeft w:val="0"/>
      <w:marRight w:val="0"/>
      <w:marTop w:val="0"/>
      <w:marBottom w:val="0"/>
      <w:divBdr>
        <w:top w:val="none" w:sz="0" w:space="0" w:color="auto"/>
        <w:left w:val="none" w:sz="0" w:space="0" w:color="auto"/>
        <w:bottom w:val="none" w:sz="0" w:space="0" w:color="auto"/>
        <w:right w:val="none" w:sz="0" w:space="0" w:color="auto"/>
      </w:divBdr>
    </w:div>
    <w:div w:id="1977880518">
      <w:marLeft w:val="0"/>
      <w:marRight w:val="0"/>
      <w:marTop w:val="0"/>
      <w:marBottom w:val="0"/>
      <w:divBdr>
        <w:top w:val="none" w:sz="0" w:space="0" w:color="auto"/>
        <w:left w:val="none" w:sz="0" w:space="0" w:color="auto"/>
        <w:bottom w:val="none" w:sz="0" w:space="0" w:color="auto"/>
        <w:right w:val="none" w:sz="0" w:space="0" w:color="auto"/>
      </w:divBdr>
    </w:div>
    <w:div w:id="1977880519">
      <w:marLeft w:val="0"/>
      <w:marRight w:val="0"/>
      <w:marTop w:val="0"/>
      <w:marBottom w:val="0"/>
      <w:divBdr>
        <w:top w:val="none" w:sz="0" w:space="0" w:color="auto"/>
        <w:left w:val="none" w:sz="0" w:space="0" w:color="auto"/>
        <w:bottom w:val="none" w:sz="0" w:space="0" w:color="auto"/>
        <w:right w:val="none" w:sz="0" w:space="0" w:color="auto"/>
      </w:divBdr>
    </w:div>
    <w:div w:id="1977880520">
      <w:marLeft w:val="0"/>
      <w:marRight w:val="0"/>
      <w:marTop w:val="0"/>
      <w:marBottom w:val="0"/>
      <w:divBdr>
        <w:top w:val="none" w:sz="0" w:space="0" w:color="auto"/>
        <w:left w:val="none" w:sz="0" w:space="0" w:color="auto"/>
        <w:bottom w:val="none" w:sz="0" w:space="0" w:color="auto"/>
        <w:right w:val="none" w:sz="0" w:space="0" w:color="auto"/>
      </w:divBdr>
    </w:div>
    <w:div w:id="1977880521">
      <w:marLeft w:val="0"/>
      <w:marRight w:val="0"/>
      <w:marTop w:val="0"/>
      <w:marBottom w:val="0"/>
      <w:divBdr>
        <w:top w:val="none" w:sz="0" w:space="0" w:color="auto"/>
        <w:left w:val="none" w:sz="0" w:space="0" w:color="auto"/>
        <w:bottom w:val="none" w:sz="0" w:space="0" w:color="auto"/>
        <w:right w:val="none" w:sz="0" w:space="0" w:color="auto"/>
      </w:divBdr>
    </w:div>
    <w:div w:id="1977880522">
      <w:marLeft w:val="0"/>
      <w:marRight w:val="0"/>
      <w:marTop w:val="0"/>
      <w:marBottom w:val="0"/>
      <w:divBdr>
        <w:top w:val="none" w:sz="0" w:space="0" w:color="auto"/>
        <w:left w:val="none" w:sz="0" w:space="0" w:color="auto"/>
        <w:bottom w:val="none" w:sz="0" w:space="0" w:color="auto"/>
        <w:right w:val="none" w:sz="0" w:space="0" w:color="auto"/>
      </w:divBdr>
    </w:div>
    <w:div w:id="1977880523">
      <w:marLeft w:val="0"/>
      <w:marRight w:val="0"/>
      <w:marTop w:val="0"/>
      <w:marBottom w:val="0"/>
      <w:divBdr>
        <w:top w:val="none" w:sz="0" w:space="0" w:color="auto"/>
        <w:left w:val="none" w:sz="0" w:space="0" w:color="auto"/>
        <w:bottom w:val="none" w:sz="0" w:space="0" w:color="auto"/>
        <w:right w:val="none" w:sz="0" w:space="0" w:color="auto"/>
      </w:divBdr>
    </w:div>
    <w:div w:id="1977880525">
      <w:marLeft w:val="0"/>
      <w:marRight w:val="0"/>
      <w:marTop w:val="0"/>
      <w:marBottom w:val="0"/>
      <w:divBdr>
        <w:top w:val="none" w:sz="0" w:space="0" w:color="auto"/>
        <w:left w:val="none" w:sz="0" w:space="0" w:color="auto"/>
        <w:bottom w:val="none" w:sz="0" w:space="0" w:color="auto"/>
        <w:right w:val="none" w:sz="0" w:space="0" w:color="auto"/>
      </w:divBdr>
    </w:div>
    <w:div w:id="1977880526">
      <w:marLeft w:val="0"/>
      <w:marRight w:val="0"/>
      <w:marTop w:val="0"/>
      <w:marBottom w:val="0"/>
      <w:divBdr>
        <w:top w:val="none" w:sz="0" w:space="0" w:color="auto"/>
        <w:left w:val="none" w:sz="0" w:space="0" w:color="auto"/>
        <w:bottom w:val="none" w:sz="0" w:space="0" w:color="auto"/>
        <w:right w:val="none" w:sz="0" w:space="0" w:color="auto"/>
      </w:divBdr>
    </w:div>
    <w:div w:id="1977880528">
      <w:marLeft w:val="0"/>
      <w:marRight w:val="0"/>
      <w:marTop w:val="0"/>
      <w:marBottom w:val="0"/>
      <w:divBdr>
        <w:top w:val="none" w:sz="0" w:space="0" w:color="auto"/>
        <w:left w:val="none" w:sz="0" w:space="0" w:color="auto"/>
        <w:bottom w:val="none" w:sz="0" w:space="0" w:color="auto"/>
        <w:right w:val="none" w:sz="0" w:space="0" w:color="auto"/>
      </w:divBdr>
    </w:div>
    <w:div w:id="1977880529">
      <w:marLeft w:val="0"/>
      <w:marRight w:val="0"/>
      <w:marTop w:val="0"/>
      <w:marBottom w:val="0"/>
      <w:divBdr>
        <w:top w:val="none" w:sz="0" w:space="0" w:color="auto"/>
        <w:left w:val="none" w:sz="0" w:space="0" w:color="auto"/>
        <w:bottom w:val="none" w:sz="0" w:space="0" w:color="auto"/>
        <w:right w:val="none" w:sz="0" w:space="0" w:color="auto"/>
      </w:divBdr>
    </w:div>
    <w:div w:id="1977880530">
      <w:marLeft w:val="0"/>
      <w:marRight w:val="0"/>
      <w:marTop w:val="0"/>
      <w:marBottom w:val="0"/>
      <w:divBdr>
        <w:top w:val="none" w:sz="0" w:space="0" w:color="auto"/>
        <w:left w:val="none" w:sz="0" w:space="0" w:color="auto"/>
        <w:bottom w:val="none" w:sz="0" w:space="0" w:color="auto"/>
        <w:right w:val="none" w:sz="0" w:space="0" w:color="auto"/>
      </w:divBdr>
    </w:div>
    <w:div w:id="1977880531">
      <w:marLeft w:val="0"/>
      <w:marRight w:val="0"/>
      <w:marTop w:val="0"/>
      <w:marBottom w:val="0"/>
      <w:divBdr>
        <w:top w:val="none" w:sz="0" w:space="0" w:color="auto"/>
        <w:left w:val="none" w:sz="0" w:space="0" w:color="auto"/>
        <w:bottom w:val="none" w:sz="0" w:space="0" w:color="auto"/>
        <w:right w:val="none" w:sz="0" w:space="0" w:color="auto"/>
      </w:divBdr>
    </w:div>
    <w:div w:id="1977880532">
      <w:marLeft w:val="0"/>
      <w:marRight w:val="0"/>
      <w:marTop w:val="0"/>
      <w:marBottom w:val="0"/>
      <w:divBdr>
        <w:top w:val="none" w:sz="0" w:space="0" w:color="auto"/>
        <w:left w:val="none" w:sz="0" w:space="0" w:color="auto"/>
        <w:bottom w:val="none" w:sz="0" w:space="0" w:color="auto"/>
        <w:right w:val="none" w:sz="0" w:space="0" w:color="auto"/>
      </w:divBdr>
    </w:div>
    <w:div w:id="1977880533">
      <w:marLeft w:val="0"/>
      <w:marRight w:val="0"/>
      <w:marTop w:val="0"/>
      <w:marBottom w:val="0"/>
      <w:divBdr>
        <w:top w:val="none" w:sz="0" w:space="0" w:color="auto"/>
        <w:left w:val="none" w:sz="0" w:space="0" w:color="auto"/>
        <w:bottom w:val="none" w:sz="0" w:space="0" w:color="auto"/>
        <w:right w:val="none" w:sz="0" w:space="0" w:color="auto"/>
      </w:divBdr>
    </w:div>
    <w:div w:id="1977880534">
      <w:marLeft w:val="0"/>
      <w:marRight w:val="0"/>
      <w:marTop w:val="0"/>
      <w:marBottom w:val="0"/>
      <w:divBdr>
        <w:top w:val="none" w:sz="0" w:space="0" w:color="auto"/>
        <w:left w:val="none" w:sz="0" w:space="0" w:color="auto"/>
        <w:bottom w:val="none" w:sz="0" w:space="0" w:color="auto"/>
        <w:right w:val="none" w:sz="0" w:space="0" w:color="auto"/>
      </w:divBdr>
    </w:div>
    <w:div w:id="1977880535">
      <w:marLeft w:val="0"/>
      <w:marRight w:val="0"/>
      <w:marTop w:val="0"/>
      <w:marBottom w:val="0"/>
      <w:divBdr>
        <w:top w:val="none" w:sz="0" w:space="0" w:color="auto"/>
        <w:left w:val="none" w:sz="0" w:space="0" w:color="auto"/>
        <w:bottom w:val="none" w:sz="0" w:space="0" w:color="auto"/>
        <w:right w:val="none" w:sz="0" w:space="0" w:color="auto"/>
      </w:divBdr>
    </w:div>
    <w:div w:id="1977880536">
      <w:marLeft w:val="0"/>
      <w:marRight w:val="0"/>
      <w:marTop w:val="0"/>
      <w:marBottom w:val="0"/>
      <w:divBdr>
        <w:top w:val="none" w:sz="0" w:space="0" w:color="auto"/>
        <w:left w:val="none" w:sz="0" w:space="0" w:color="auto"/>
        <w:bottom w:val="none" w:sz="0" w:space="0" w:color="auto"/>
        <w:right w:val="none" w:sz="0" w:space="0" w:color="auto"/>
      </w:divBdr>
      <w:divsChild>
        <w:div w:id="1977880459">
          <w:marLeft w:val="0"/>
          <w:marRight w:val="0"/>
          <w:marTop w:val="0"/>
          <w:marBottom w:val="0"/>
          <w:divBdr>
            <w:top w:val="none" w:sz="0" w:space="0" w:color="auto"/>
            <w:left w:val="none" w:sz="0" w:space="0" w:color="auto"/>
            <w:bottom w:val="none" w:sz="0" w:space="0" w:color="auto"/>
            <w:right w:val="none" w:sz="0" w:space="0" w:color="auto"/>
          </w:divBdr>
        </w:div>
        <w:div w:id="1977880460">
          <w:marLeft w:val="0"/>
          <w:marRight w:val="0"/>
          <w:marTop w:val="0"/>
          <w:marBottom w:val="0"/>
          <w:divBdr>
            <w:top w:val="none" w:sz="0" w:space="0" w:color="auto"/>
            <w:left w:val="none" w:sz="0" w:space="0" w:color="auto"/>
            <w:bottom w:val="none" w:sz="0" w:space="0" w:color="auto"/>
            <w:right w:val="none" w:sz="0" w:space="0" w:color="auto"/>
          </w:divBdr>
        </w:div>
        <w:div w:id="1977880477">
          <w:marLeft w:val="0"/>
          <w:marRight w:val="0"/>
          <w:marTop w:val="0"/>
          <w:marBottom w:val="0"/>
          <w:divBdr>
            <w:top w:val="none" w:sz="0" w:space="0" w:color="auto"/>
            <w:left w:val="none" w:sz="0" w:space="0" w:color="auto"/>
            <w:bottom w:val="none" w:sz="0" w:space="0" w:color="auto"/>
            <w:right w:val="none" w:sz="0" w:space="0" w:color="auto"/>
          </w:divBdr>
        </w:div>
        <w:div w:id="1977880487">
          <w:marLeft w:val="0"/>
          <w:marRight w:val="0"/>
          <w:marTop w:val="0"/>
          <w:marBottom w:val="0"/>
          <w:divBdr>
            <w:top w:val="none" w:sz="0" w:space="0" w:color="auto"/>
            <w:left w:val="none" w:sz="0" w:space="0" w:color="auto"/>
            <w:bottom w:val="none" w:sz="0" w:space="0" w:color="auto"/>
            <w:right w:val="none" w:sz="0" w:space="0" w:color="auto"/>
          </w:divBdr>
        </w:div>
        <w:div w:id="1977880524">
          <w:marLeft w:val="0"/>
          <w:marRight w:val="0"/>
          <w:marTop w:val="0"/>
          <w:marBottom w:val="0"/>
          <w:divBdr>
            <w:top w:val="none" w:sz="0" w:space="0" w:color="auto"/>
            <w:left w:val="none" w:sz="0" w:space="0" w:color="auto"/>
            <w:bottom w:val="none" w:sz="0" w:space="0" w:color="auto"/>
            <w:right w:val="none" w:sz="0" w:space="0" w:color="auto"/>
          </w:divBdr>
        </w:div>
        <w:div w:id="1977880527">
          <w:marLeft w:val="0"/>
          <w:marRight w:val="0"/>
          <w:marTop w:val="0"/>
          <w:marBottom w:val="0"/>
          <w:divBdr>
            <w:top w:val="none" w:sz="0" w:space="0" w:color="auto"/>
            <w:left w:val="none" w:sz="0" w:space="0" w:color="auto"/>
            <w:bottom w:val="none" w:sz="0" w:space="0" w:color="auto"/>
            <w:right w:val="none" w:sz="0" w:space="0" w:color="auto"/>
          </w:divBdr>
        </w:div>
        <w:div w:id="1977880537">
          <w:marLeft w:val="0"/>
          <w:marRight w:val="0"/>
          <w:marTop w:val="0"/>
          <w:marBottom w:val="0"/>
          <w:divBdr>
            <w:top w:val="none" w:sz="0" w:space="0" w:color="auto"/>
            <w:left w:val="none" w:sz="0" w:space="0" w:color="auto"/>
            <w:bottom w:val="none" w:sz="0" w:space="0" w:color="auto"/>
            <w:right w:val="none" w:sz="0" w:space="0" w:color="auto"/>
          </w:divBdr>
        </w:div>
        <w:div w:id="1977880547">
          <w:marLeft w:val="0"/>
          <w:marRight w:val="0"/>
          <w:marTop w:val="0"/>
          <w:marBottom w:val="0"/>
          <w:divBdr>
            <w:top w:val="none" w:sz="0" w:space="0" w:color="auto"/>
            <w:left w:val="none" w:sz="0" w:space="0" w:color="auto"/>
            <w:bottom w:val="none" w:sz="0" w:space="0" w:color="auto"/>
            <w:right w:val="none" w:sz="0" w:space="0" w:color="auto"/>
          </w:divBdr>
        </w:div>
      </w:divsChild>
    </w:div>
    <w:div w:id="1977880538">
      <w:marLeft w:val="0"/>
      <w:marRight w:val="0"/>
      <w:marTop w:val="0"/>
      <w:marBottom w:val="0"/>
      <w:divBdr>
        <w:top w:val="none" w:sz="0" w:space="0" w:color="auto"/>
        <w:left w:val="none" w:sz="0" w:space="0" w:color="auto"/>
        <w:bottom w:val="none" w:sz="0" w:space="0" w:color="auto"/>
        <w:right w:val="none" w:sz="0" w:space="0" w:color="auto"/>
      </w:divBdr>
    </w:div>
    <w:div w:id="1977880539">
      <w:marLeft w:val="0"/>
      <w:marRight w:val="0"/>
      <w:marTop w:val="0"/>
      <w:marBottom w:val="0"/>
      <w:divBdr>
        <w:top w:val="none" w:sz="0" w:space="0" w:color="auto"/>
        <w:left w:val="none" w:sz="0" w:space="0" w:color="auto"/>
        <w:bottom w:val="none" w:sz="0" w:space="0" w:color="auto"/>
        <w:right w:val="none" w:sz="0" w:space="0" w:color="auto"/>
      </w:divBdr>
    </w:div>
    <w:div w:id="1977880540">
      <w:marLeft w:val="0"/>
      <w:marRight w:val="0"/>
      <w:marTop w:val="0"/>
      <w:marBottom w:val="0"/>
      <w:divBdr>
        <w:top w:val="none" w:sz="0" w:space="0" w:color="auto"/>
        <w:left w:val="none" w:sz="0" w:space="0" w:color="auto"/>
        <w:bottom w:val="none" w:sz="0" w:space="0" w:color="auto"/>
        <w:right w:val="none" w:sz="0" w:space="0" w:color="auto"/>
      </w:divBdr>
    </w:div>
    <w:div w:id="1977880541">
      <w:marLeft w:val="0"/>
      <w:marRight w:val="0"/>
      <w:marTop w:val="0"/>
      <w:marBottom w:val="0"/>
      <w:divBdr>
        <w:top w:val="none" w:sz="0" w:space="0" w:color="auto"/>
        <w:left w:val="none" w:sz="0" w:space="0" w:color="auto"/>
        <w:bottom w:val="none" w:sz="0" w:space="0" w:color="auto"/>
        <w:right w:val="none" w:sz="0" w:space="0" w:color="auto"/>
      </w:divBdr>
    </w:div>
    <w:div w:id="1977880542">
      <w:marLeft w:val="0"/>
      <w:marRight w:val="0"/>
      <w:marTop w:val="0"/>
      <w:marBottom w:val="0"/>
      <w:divBdr>
        <w:top w:val="none" w:sz="0" w:space="0" w:color="auto"/>
        <w:left w:val="none" w:sz="0" w:space="0" w:color="auto"/>
        <w:bottom w:val="none" w:sz="0" w:space="0" w:color="auto"/>
        <w:right w:val="none" w:sz="0" w:space="0" w:color="auto"/>
      </w:divBdr>
    </w:div>
    <w:div w:id="1977880543">
      <w:marLeft w:val="0"/>
      <w:marRight w:val="0"/>
      <w:marTop w:val="0"/>
      <w:marBottom w:val="0"/>
      <w:divBdr>
        <w:top w:val="none" w:sz="0" w:space="0" w:color="auto"/>
        <w:left w:val="none" w:sz="0" w:space="0" w:color="auto"/>
        <w:bottom w:val="none" w:sz="0" w:space="0" w:color="auto"/>
        <w:right w:val="none" w:sz="0" w:space="0" w:color="auto"/>
      </w:divBdr>
    </w:div>
    <w:div w:id="1977880544">
      <w:marLeft w:val="0"/>
      <w:marRight w:val="0"/>
      <w:marTop w:val="0"/>
      <w:marBottom w:val="0"/>
      <w:divBdr>
        <w:top w:val="none" w:sz="0" w:space="0" w:color="auto"/>
        <w:left w:val="none" w:sz="0" w:space="0" w:color="auto"/>
        <w:bottom w:val="none" w:sz="0" w:space="0" w:color="auto"/>
        <w:right w:val="none" w:sz="0" w:space="0" w:color="auto"/>
      </w:divBdr>
    </w:div>
    <w:div w:id="1977880545">
      <w:marLeft w:val="0"/>
      <w:marRight w:val="0"/>
      <w:marTop w:val="0"/>
      <w:marBottom w:val="0"/>
      <w:divBdr>
        <w:top w:val="none" w:sz="0" w:space="0" w:color="auto"/>
        <w:left w:val="none" w:sz="0" w:space="0" w:color="auto"/>
        <w:bottom w:val="none" w:sz="0" w:space="0" w:color="auto"/>
        <w:right w:val="none" w:sz="0" w:space="0" w:color="auto"/>
      </w:divBdr>
    </w:div>
    <w:div w:id="1977880546">
      <w:marLeft w:val="0"/>
      <w:marRight w:val="0"/>
      <w:marTop w:val="0"/>
      <w:marBottom w:val="0"/>
      <w:divBdr>
        <w:top w:val="none" w:sz="0" w:space="0" w:color="auto"/>
        <w:left w:val="none" w:sz="0" w:space="0" w:color="auto"/>
        <w:bottom w:val="none" w:sz="0" w:space="0" w:color="auto"/>
        <w:right w:val="none" w:sz="0" w:space="0" w:color="auto"/>
      </w:divBdr>
    </w:div>
    <w:div w:id="1977880548">
      <w:marLeft w:val="0"/>
      <w:marRight w:val="0"/>
      <w:marTop w:val="0"/>
      <w:marBottom w:val="0"/>
      <w:divBdr>
        <w:top w:val="none" w:sz="0" w:space="0" w:color="auto"/>
        <w:left w:val="none" w:sz="0" w:space="0" w:color="auto"/>
        <w:bottom w:val="none" w:sz="0" w:space="0" w:color="auto"/>
        <w:right w:val="none" w:sz="0" w:space="0" w:color="auto"/>
      </w:divBdr>
    </w:div>
    <w:div w:id="1977880549">
      <w:marLeft w:val="0"/>
      <w:marRight w:val="0"/>
      <w:marTop w:val="0"/>
      <w:marBottom w:val="0"/>
      <w:divBdr>
        <w:top w:val="none" w:sz="0" w:space="0" w:color="auto"/>
        <w:left w:val="none" w:sz="0" w:space="0" w:color="auto"/>
        <w:bottom w:val="none" w:sz="0" w:space="0" w:color="auto"/>
        <w:right w:val="none" w:sz="0" w:space="0" w:color="auto"/>
      </w:divBdr>
    </w:div>
    <w:div w:id="1977880550">
      <w:marLeft w:val="0"/>
      <w:marRight w:val="0"/>
      <w:marTop w:val="0"/>
      <w:marBottom w:val="0"/>
      <w:divBdr>
        <w:top w:val="none" w:sz="0" w:space="0" w:color="auto"/>
        <w:left w:val="none" w:sz="0" w:space="0" w:color="auto"/>
        <w:bottom w:val="none" w:sz="0" w:space="0" w:color="auto"/>
        <w:right w:val="none" w:sz="0" w:space="0" w:color="auto"/>
      </w:divBdr>
    </w:div>
    <w:div w:id="1977880551">
      <w:marLeft w:val="0"/>
      <w:marRight w:val="0"/>
      <w:marTop w:val="0"/>
      <w:marBottom w:val="0"/>
      <w:divBdr>
        <w:top w:val="none" w:sz="0" w:space="0" w:color="auto"/>
        <w:left w:val="none" w:sz="0" w:space="0" w:color="auto"/>
        <w:bottom w:val="none" w:sz="0" w:space="0" w:color="auto"/>
        <w:right w:val="none" w:sz="0" w:space="0" w:color="auto"/>
      </w:divBdr>
    </w:div>
    <w:div w:id="1977880552">
      <w:marLeft w:val="0"/>
      <w:marRight w:val="0"/>
      <w:marTop w:val="0"/>
      <w:marBottom w:val="0"/>
      <w:divBdr>
        <w:top w:val="none" w:sz="0" w:space="0" w:color="auto"/>
        <w:left w:val="none" w:sz="0" w:space="0" w:color="auto"/>
        <w:bottom w:val="none" w:sz="0" w:space="0" w:color="auto"/>
        <w:right w:val="none" w:sz="0" w:space="0" w:color="auto"/>
      </w:divBdr>
    </w:div>
    <w:div w:id="1977880553">
      <w:marLeft w:val="0"/>
      <w:marRight w:val="0"/>
      <w:marTop w:val="0"/>
      <w:marBottom w:val="0"/>
      <w:divBdr>
        <w:top w:val="none" w:sz="0" w:space="0" w:color="auto"/>
        <w:left w:val="none" w:sz="0" w:space="0" w:color="auto"/>
        <w:bottom w:val="none" w:sz="0" w:space="0" w:color="auto"/>
        <w:right w:val="none" w:sz="0" w:space="0" w:color="auto"/>
      </w:divBdr>
    </w:div>
    <w:div w:id="1977880554">
      <w:marLeft w:val="0"/>
      <w:marRight w:val="0"/>
      <w:marTop w:val="0"/>
      <w:marBottom w:val="0"/>
      <w:divBdr>
        <w:top w:val="none" w:sz="0" w:space="0" w:color="auto"/>
        <w:left w:val="none" w:sz="0" w:space="0" w:color="auto"/>
        <w:bottom w:val="none" w:sz="0" w:space="0" w:color="auto"/>
        <w:right w:val="none" w:sz="0" w:space="0" w:color="auto"/>
      </w:divBdr>
    </w:div>
    <w:div w:id="1977880555">
      <w:marLeft w:val="0"/>
      <w:marRight w:val="0"/>
      <w:marTop w:val="0"/>
      <w:marBottom w:val="0"/>
      <w:divBdr>
        <w:top w:val="none" w:sz="0" w:space="0" w:color="auto"/>
        <w:left w:val="none" w:sz="0" w:space="0" w:color="auto"/>
        <w:bottom w:val="none" w:sz="0" w:space="0" w:color="auto"/>
        <w:right w:val="none" w:sz="0" w:space="0" w:color="auto"/>
      </w:divBdr>
    </w:div>
    <w:div w:id="1977880556">
      <w:marLeft w:val="0"/>
      <w:marRight w:val="0"/>
      <w:marTop w:val="0"/>
      <w:marBottom w:val="0"/>
      <w:divBdr>
        <w:top w:val="none" w:sz="0" w:space="0" w:color="auto"/>
        <w:left w:val="none" w:sz="0" w:space="0" w:color="auto"/>
        <w:bottom w:val="none" w:sz="0" w:space="0" w:color="auto"/>
        <w:right w:val="none" w:sz="0" w:space="0" w:color="auto"/>
      </w:divBdr>
    </w:div>
    <w:div w:id="1977880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ecd-ilibrary.org/economics/do-product-market-regulations-in-upstream-sectors-curb-productivity-growth-panel-data-evidence-for-oecd-countries_5kmbm6s9kbkf-en"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image" Target="cid:image002.png@01D105D9.7E0405D0" TargetMode="External"/><Relationship Id="rId47" Type="http://schemas.openxmlformats.org/officeDocument/2006/relationships/hyperlink" Target="http://www.rae.gr/site/file/categories_new/about_rae/actions/decision/2013/2013_A0356?p=files&amp;i=0" TargetMode="External"/><Relationship Id="rId50" Type="http://schemas.openxmlformats.org/officeDocument/2006/relationships/image" Target="media/image22.jpe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sev.org.gr/Uploads/Documents/48757/weekly_18_6_2015.pdf" TargetMode="External"/><Relationship Id="rId17" Type="http://schemas.openxmlformats.org/officeDocument/2006/relationships/hyperlink" Target="http://www.imf.org/external/ns/cs.aspx?id=29"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cid:image005.png@01D105D5.B0C1D140" TargetMode="External"/><Relationship Id="rId46" Type="http://schemas.openxmlformats.org/officeDocument/2006/relationships/image" Target="media/image2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nergia.gr/article.asp?art_id=73249" TargetMode="External"/><Relationship Id="rId20" Type="http://schemas.openxmlformats.org/officeDocument/2006/relationships/hyperlink" Target="http://www.imf.org/external/pubs/ft/fm/2015/02/fmindex.htm" TargetMode="External"/><Relationship Id="rId29"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f.org/external/pubs/ft/fm/2015/02/fmindex.htm" TargetMode="External"/><Relationship Id="rId24" Type="http://schemas.openxmlformats.org/officeDocument/2006/relationships/oleObject" Target="embeddings/oleObject2.bin"/><Relationship Id="rId32" Type="http://schemas.openxmlformats.org/officeDocument/2006/relationships/image" Target="cid:image003.png@01D102C7.5CEC42F0" TargetMode="External"/><Relationship Id="rId37" Type="http://schemas.openxmlformats.org/officeDocument/2006/relationships/image" Target="media/image14.png"/><Relationship Id="rId40" Type="http://schemas.openxmlformats.org/officeDocument/2006/relationships/image" Target="cid:image001.png@01D105D7.AC782EC0" TargetMode="External"/><Relationship Id="rId45" Type="http://schemas.openxmlformats.org/officeDocument/2006/relationships/image" Target="media/image19.png"/><Relationship Id="rId53" Type="http://schemas.openxmlformats.org/officeDocument/2006/relationships/footer" Target="foot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sev.org.gr/Uploads/Documents/48777/weekly_2_7_2015.pdf" TargetMode="External"/><Relationship Id="rId23" Type="http://schemas.openxmlformats.org/officeDocument/2006/relationships/image" Target="media/image5.png"/><Relationship Id="rId28" Type="http://schemas.openxmlformats.org/officeDocument/2006/relationships/oleObject" Target="embeddings/oleObject3.bin"/><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header" Target="header3.xml"/><Relationship Id="rId10" Type="http://schemas.openxmlformats.org/officeDocument/2006/relationships/image" Target="cid:image002.png@01D10522.2B9E5A00" TargetMode="External"/><Relationship Id="rId19" Type="http://schemas.openxmlformats.org/officeDocument/2006/relationships/oleObject" Target="embeddings/oleObject1.bin"/><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itpressjournals.org/doi/abs/10.1162/REST_a_00288" TargetMode="External"/><Relationship Id="rId22" Type="http://schemas.openxmlformats.org/officeDocument/2006/relationships/image" Target="cid:image001.png@01D10522.2B9E5A00" TargetMode="External"/><Relationship Id="rId27" Type="http://schemas.openxmlformats.org/officeDocument/2006/relationships/image" Target="media/image8.png"/><Relationship Id="rId30" Type="http://schemas.openxmlformats.org/officeDocument/2006/relationships/image" Target="cid:image004.png@01D102C0.0E682E20" TargetMode="External"/><Relationship Id="rId35" Type="http://schemas.openxmlformats.org/officeDocument/2006/relationships/image" Target="cid:image003.png@01D105D2.0A7F9720" TargetMode="External"/><Relationship Id="rId43" Type="http://schemas.openxmlformats.org/officeDocument/2006/relationships/image" Target="media/image17.png"/><Relationship Id="rId48" Type="http://schemas.openxmlformats.org/officeDocument/2006/relationships/hyperlink" Target="http://www.haipp.gr/content/%CE%B5%CF%83%CE%B1%CE%B7-%CE%B5%CF%80%CE%B9%CE%B6%CE%AE%CE%BC%CE%B9%CE%B1-%CE%B3%CE%B9%CE%B1-%CF%8C%CE%BB%CE%BF%CF%85%CF%82-%CE%B7-%CE%B1%CF%80%CF%8C%CF%80%CE%B5%CE%B9%CF%81%CE%B1-%CE%B4%CE%B1%CE%B9%CE%BC%CE%BF%CE%BD%CE%BF%CF%80%CE%BF%CE%AF%CE%B7%CF%83%CE%B7%CF%82-%CF%84%CE%BF%CF%85-%CE%BC%CE%B7%CF%87%CE%B1%CE%BD%CE%B9%CF%83%CE%BC%CE%BF%CF%8D-%CE%B1%CE%BD%CE%AC%CE%BA%CF%84%CE%B7%CF%83%CE%B7%CF%82-%CE%BC%CE%B5%CF%84%CE%B1%CE%B2%CE%BB%CE%B7%CF%84%CE%BF%CF%8D-%CE%BA%CF%8C%CF%83%CF%84%CE%BF%CF%85%CF%82" TargetMode="External"/><Relationship Id="rId56" Type="http://schemas.openxmlformats.org/officeDocument/2006/relationships/image" Target="media/image25.jpeg"/><Relationship Id="rId8" Type="http://schemas.openxmlformats.org/officeDocument/2006/relationships/hyperlink" Target="http://www.imf.org/external/pubs/ft/fm/2015/02/fmindex.htm" TargetMode="External"/><Relationship Id="rId51" Type="http://schemas.openxmlformats.org/officeDocument/2006/relationships/hyperlink" Target="mailto:info@sev.org.gr"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3" Type="http://schemas.openxmlformats.org/officeDocument/2006/relationships/hyperlink" Target="mailto:mmitsopoulos@sev.org.gr" TargetMode="External"/><Relationship Id="rId2" Type="http://schemas.openxmlformats.org/officeDocument/2006/relationships/hyperlink" Target="mailto:mmassourakis@sev.org.gr" TargetMode="External"/><Relationship Id="rId1" Type="http://schemas.openxmlformats.org/officeDocument/2006/relationships/image" Target="media/image23.png"/><Relationship Id="rId4" Type="http://schemas.openxmlformats.org/officeDocument/2006/relationships/hyperlink" Target="mailto:printsipas@sev.org.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Pages>
  <Words>4330</Words>
  <Characters>23383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MITSOPOULOS MICHAEL</dc:creator>
  <cp:keywords/>
  <dc:description/>
  <cp:lastModifiedBy>nypofantis</cp:lastModifiedBy>
  <cp:revision>2</cp:revision>
  <cp:lastPrinted>2015-10-15T12:05:00Z</cp:lastPrinted>
  <dcterms:created xsi:type="dcterms:W3CDTF">2015-10-16T12:05:00Z</dcterms:created>
  <dcterms:modified xsi:type="dcterms:W3CDTF">2015-10-16T12:05:00Z</dcterms:modified>
</cp:coreProperties>
</file>