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EA" w:rsidRDefault="001A2F74">
      <w:pPr>
        <w:rPr>
          <w:lang w:val="en-US"/>
        </w:rPr>
      </w:pPr>
      <w:r w:rsidRPr="001A2F74">
        <w:rPr>
          <w:noProof/>
          <w:lang w:eastAsia="el-GR"/>
        </w:rPr>
        <w:drawing>
          <wp:inline distT="0" distB="0" distL="0" distR="0">
            <wp:extent cx="5264725" cy="561975"/>
            <wp:effectExtent l="19050" t="0" r="0" b="0"/>
            <wp:docPr id="1" name="Εικόνα 1" descr="INEMY_logo_TELIK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MY_logo_TELIKO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74" w:rsidRPr="00431328" w:rsidRDefault="001A2F74" w:rsidP="001A2F74">
      <w:pPr>
        <w:ind w:left="-426" w:right="-766" w:firstLine="426"/>
        <w:rPr>
          <w:rFonts w:ascii="Tahoma" w:hAnsi="Tahoma" w:cs="Tahoma"/>
          <w:b/>
          <w:bCs/>
          <w:sz w:val="26"/>
          <w:szCs w:val="26"/>
        </w:rPr>
      </w:pPr>
      <w:r w:rsidRPr="006B0100">
        <w:rPr>
          <w:rFonts w:ascii="Cambria" w:hAnsi="Cambria" w:cs="Arial"/>
          <w:sz w:val="26"/>
          <w:szCs w:val="26"/>
        </w:rPr>
        <w:t>ΠΕΤΡΑΚΗ</w:t>
      </w:r>
      <w:r>
        <w:rPr>
          <w:rFonts w:ascii="Cambria" w:hAnsi="Cambria" w:cs="Arial"/>
          <w:sz w:val="26"/>
          <w:szCs w:val="26"/>
        </w:rPr>
        <w:t xml:space="preserve"> 8  Τ.Κ. 105 63 - ΑΘΗΝΑ    ΤΗΛ: 210.32.59.170</w:t>
      </w:r>
      <w:r w:rsidRPr="006B0100">
        <w:rPr>
          <w:rFonts w:ascii="Cambria" w:hAnsi="Cambria" w:cs="Arial"/>
          <w:sz w:val="26"/>
          <w:szCs w:val="26"/>
        </w:rPr>
        <w:t xml:space="preserve"> </w:t>
      </w:r>
      <w:r>
        <w:rPr>
          <w:rFonts w:ascii="Cambria" w:hAnsi="Cambria" w:cs="Arial"/>
          <w:sz w:val="26"/>
          <w:szCs w:val="26"/>
        </w:rPr>
        <w:t xml:space="preserve">– </w:t>
      </w:r>
      <w:r w:rsidRPr="005F3D0C">
        <w:rPr>
          <w:rFonts w:ascii="Cambria" w:hAnsi="Cambria" w:cs="Arial"/>
          <w:sz w:val="26"/>
          <w:szCs w:val="26"/>
        </w:rPr>
        <w:t>FAX</w:t>
      </w:r>
      <w:r>
        <w:rPr>
          <w:rFonts w:ascii="Cambria" w:hAnsi="Cambria" w:cs="Arial"/>
          <w:sz w:val="26"/>
          <w:szCs w:val="26"/>
        </w:rPr>
        <w:t>: 210.32.59.</w:t>
      </w:r>
      <w:r w:rsidRPr="00431328">
        <w:rPr>
          <w:rFonts w:ascii="Cambria" w:hAnsi="Cambria" w:cs="Arial"/>
          <w:sz w:val="26"/>
          <w:szCs w:val="26"/>
        </w:rPr>
        <w:t>169</w:t>
      </w:r>
    </w:p>
    <w:p w:rsidR="00E81164" w:rsidRPr="00E81164" w:rsidRDefault="00E81164" w:rsidP="00E81164">
      <w:pPr>
        <w:jc w:val="center"/>
        <w:rPr>
          <w:rFonts w:cstheme="minorHAnsi"/>
          <w:b/>
          <w:sz w:val="28"/>
          <w:szCs w:val="28"/>
        </w:rPr>
      </w:pPr>
      <w:r w:rsidRPr="00E81164">
        <w:rPr>
          <w:rFonts w:cstheme="minorHAnsi"/>
          <w:b/>
          <w:sz w:val="28"/>
          <w:szCs w:val="28"/>
        </w:rPr>
        <w:t>Ενημερωτικό σημείωμα:</w:t>
      </w:r>
    </w:p>
    <w:p w:rsidR="00E81164" w:rsidRPr="00E81164" w:rsidRDefault="00E81164" w:rsidP="00E81164">
      <w:pPr>
        <w:jc w:val="center"/>
        <w:rPr>
          <w:rFonts w:cstheme="minorHAnsi"/>
          <w:b/>
          <w:sz w:val="24"/>
          <w:szCs w:val="24"/>
        </w:rPr>
      </w:pPr>
      <w:r w:rsidRPr="00E81164">
        <w:rPr>
          <w:rFonts w:cstheme="minorHAnsi"/>
          <w:b/>
          <w:i/>
          <w:sz w:val="26"/>
          <w:szCs w:val="26"/>
          <w:u w:val="single"/>
        </w:rPr>
        <w:t>ΘΕΜΑ</w:t>
      </w:r>
      <w:r w:rsidRPr="00E81164">
        <w:rPr>
          <w:rFonts w:cstheme="minorHAnsi"/>
          <w:b/>
          <w:i/>
          <w:sz w:val="26"/>
          <w:szCs w:val="26"/>
        </w:rPr>
        <w:t>:</w:t>
      </w:r>
      <w:r w:rsidRPr="00E81164">
        <w:rPr>
          <w:rFonts w:cstheme="minorHAnsi"/>
          <w:b/>
          <w:sz w:val="26"/>
          <w:szCs w:val="26"/>
        </w:rPr>
        <w:t xml:space="preserve"> </w:t>
      </w:r>
      <w:r w:rsidRPr="00E81164">
        <w:rPr>
          <w:rFonts w:cstheme="minorHAnsi"/>
          <w:b/>
          <w:sz w:val="24"/>
          <w:szCs w:val="24"/>
        </w:rPr>
        <w:t xml:space="preserve">Οι επιπτώσεις της τραπεζικής αργίας και των </w:t>
      </w:r>
      <w:r w:rsidRPr="00E81164">
        <w:rPr>
          <w:rFonts w:cstheme="minorHAnsi"/>
          <w:b/>
          <w:sz w:val="24"/>
          <w:szCs w:val="24"/>
          <w:lang w:val="en-US"/>
        </w:rPr>
        <w:t>Capital</w:t>
      </w:r>
      <w:r w:rsidRPr="00E81164">
        <w:rPr>
          <w:rFonts w:cstheme="minorHAnsi"/>
          <w:b/>
          <w:sz w:val="24"/>
          <w:szCs w:val="24"/>
        </w:rPr>
        <w:t xml:space="preserve"> </w:t>
      </w:r>
      <w:r w:rsidRPr="00E81164">
        <w:rPr>
          <w:rFonts w:cstheme="minorHAnsi"/>
          <w:b/>
          <w:sz w:val="24"/>
          <w:szCs w:val="24"/>
          <w:lang w:val="en-US"/>
        </w:rPr>
        <w:t>Controls</w:t>
      </w:r>
      <w:r w:rsidRPr="00E81164">
        <w:rPr>
          <w:rFonts w:cstheme="minorHAnsi"/>
          <w:b/>
          <w:sz w:val="24"/>
          <w:szCs w:val="24"/>
        </w:rPr>
        <w:t xml:space="preserve"> στην Οικονομία</w:t>
      </w:r>
    </w:p>
    <w:tbl>
      <w:tblPr>
        <w:tblStyle w:val="a3"/>
        <w:tblW w:w="9782" w:type="dxa"/>
        <w:tblInd w:w="-743" w:type="dxa"/>
        <w:tblLook w:val="04A0"/>
      </w:tblPr>
      <w:tblGrid>
        <w:gridCol w:w="2411"/>
        <w:gridCol w:w="7371"/>
      </w:tblGrid>
      <w:tr w:rsidR="001A2F74" w:rsidRPr="001A2F74" w:rsidTr="008D1F05">
        <w:trPr>
          <w:trHeight w:val="813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1A2F74" w:rsidRPr="001A2F74" w:rsidRDefault="001A2F74" w:rsidP="008D1F05">
            <w:pPr>
              <w:jc w:val="center"/>
            </w:pPr>
            <w:r w:rsidRPr="001A2F74">
              <w:rPr>
                <w:b/>
                <w:sz w:val="26"/>
                <w:szCs w:val="26"/>
              </w:rPr>
              <w:t>Πίνακας 1:</w:t>
            </w:r>
            <w:r w:rsidR="00564A28">
              <w:rPr>
                <w:b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1A2F74">
              <w:rPr>
                <w:b/>
              </w:rPr>
              <w:t xml:space="preserve">Οι επιπτώσεις της τραπεζικής αργίας και των </w:t>
            </w:r>
            <w:r w:rsidR="00E81164">
              <w:rPr>
                <w:b/>
                <w:lang w:val="en-US"/>
              </w:rPr>
              <w:t>C</w:t>
            </w:r>
            <w:r w:rsidRPr="001A2F74">
              <w:rPr>
                <w:b/>
                <w:lang w:val="en-US"/>
              </w:rPr>
              <w:t>apital</w:t>
            </w:r>
            <w:r w:rsidRPr="001A2F74">
              <w:rPr>
                <w:b/>
              </w:rPr>
              <w:t xml:space="preserve"> </w:t>
            </w:r>
            <w:r w:rsidRPr="001A2F74">
              <w:rPr>
                <w:b/>
                <w:lang w:val="en-US"/>
              </w:rPr>
              <w:t>Controls</w:t>
            </w:r>
            <w:r w:rsidRPr="001A2F74">
              <w:rPr>
                <w:b/>
              </w:rPr>
              <w:t xml:space="preserve"> στην </w:t>
            </w:r>
            <w:r w:rsidR="00266342">
              <w:rPr>
                <w:b/>
              </w:rPr>
              <w:t xml:space="preserve">Πραγματική </w:t>
            </w:r>
            <w:r w:rsidR="00E81164">
              <w:rPr>
                <w:b/>
              </w:rPr>
              <w:t>Ο</w:t>
            </w:r>
            <w:r w:rsidRPr="001A2F74">
              <w:rPr>
                <w:b/>
              </w:rPr>
              <w:t>ικονομία</w:t>
            </w:r>
            <w:r w:rsidR="00024A4B">
              <w:rPr>
                <w:b/>
              </w:rPr>
              <w:t xml:space="preserve">, στο </w:t>
            </w:r>
            <w:r w:rsidR="008D1F05">
              <w:rPr>
                <w:b/>
              </w:rPr>
              <w:t xml:space="preserve">χρονικό </w:t>
            </w:r>
            <w:r w:rsidR="00024A4B">
              <w:rPr>
                <w:b/>
              </w:rPr>
              <w:t>διάστημα</w:t>
            </w:r>
            <w:r w:rsidR="008D1F05">
              <w:rPr>
                <w:b/>
              </w:rPr>
              <w:t xml:space="preserve"> από </w:t>
            </w:r>
            <w:r w:rsidR="00024A4B">
              <w:rPr>
                <w:b/>
              </w:rPr>
              <w:t>29/6 έως 25</w:t>
            </w:r>
            <w:r w:rsidR="00F4581E">
              <w:rPr>
                <w:b/>
              </w:rPr>
              <w:t>-30</w:t>
            </w:r>
            <w:r w:rsidR="00024A4B">
              <w:rPr>
                <w:b/>
              </w:rPr>
              <w:t>/7</w:t>
            </w:r>
          </w:p>
        </w:tc>
      </w:tr>
      <w:tr w:rsidR="001A2F74" w:rsidRPr="001A2F74" w:rsidTr="008D1F05">
        <w:trPr>
          <w:trHeight w:val="932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F74" w:rsidRPr="00266342" w:rsidRDefault="00266342" w:rsidP="009A7BED">
            <w:r>
              <w:rPr>
                <w:b/>
              </w:rPr>
              <w:t>Τζίρος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E305A" w:rsidRDefault="00266342" w:rsidP="0035298C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 xml:space="preserve">Αναλόγως του κλάδου, οι </w:t>
            </w:r>
            <w:r w:rsidR="00F34CDE">
              <w:t xml:space="preserve">μεσοσταθμικές </w:t>
            </w:r>
            <w:r>
              <w:t xml:space="preserve">απώλειες </w:t>
            </w:r>
            <w:r w:rsidR="00F34CDE">
              <w:t xml:space="preserve">του κύκλου εργασιών </w:t>
            </w:r>
            <w:r w:rsidR="00420E11">
              <w:t>ανέρχονται</w:t>
            </w:r>
            <w:r>
              <w:t xml:space="preserve"> </w:t>
            </w:r>
            <w:r w:rsidR="00F34CDE">
              <w:t>στο</w:t>
            </w:r>
            <w:r>
              <w:t xml:space="preserve"> </w:t>
            </w:r>
            <w:r w:rsidRPr="006D25DD">
              <w:rPr>
                <w:b/>
              </w:rPr>
              <w:t>30%</w:t>
            </w:r>
            <w:r w:rsidR="00F34CDE">
              <w:t>, με ορισμένους όμως εξ’ αυτών</w:t>
            </w:r>
            <w:r>
              <w:t xml:space="preserve"> </w:t>
            </w:r>
            <w:r w:rsidR="00F34CDE">
              <w:t xml:space="preserve">να εμφανίζουν πτώση έως και </w:t>
            </w:r>
            <w:r w:rsidR="00F34CDE">
              <w:rPr>
                <w:b/>
              </w:rPr>
              <w:t>7</w:t>
            </w:r>
            <w:r w:rsidRPr="006D25DD">
              <w:rPr>
                <w:b/>
              </w:rPr>
              <w:t>0%.</w:t>
            </w:r>
            <w:r w:rsidR="00EF3ACE">
              <w:t xml:space="preserve"> </w:t>
            </w:r>
          </w:p>
          <w:p w:rsidR="001A2F74" w:rsidRPr="0035298C" w:rsidRDefault="00EF3ACE" w:rsidP="0035298C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>Στο λιανικό εμπόριο η πτώση του τζίρου</w:t>
            </w:r>
            <w:r w:rsidR="007E305A">
              <w:t xml:space="preserve"> τ</w:t>
            </w:r>
            <w:r w:rsidR="00F34CDE">
              <w:t>ην πρώτη</w:t>
            </w:r>
            <w:r w:rsidR="007E305A">
              <w:t xml:space="preserve"> </w:t>
            </w:r>
            <w:r w:rsidR="00F34CDE">
              <w:t>ε</w:t>
            </w:r>
            <w:r w:rsidR="007E305A">
              <w:t>βδομάδ</w:t>
            </w:r>
            <w:r w:rsidR="00F34CDE">
              <w:t>α</w:t>
            </w:r>
            <w:r w:rsidR="007E305A">
              <w:t xml:space="preserve"> της επιβολής των κεφαλαιακών ελέγχων </w:t>
            </w:r>
            <w:r>
              <w:t xml:space="preserve"> </w:t>
            </w:r>
            <w:r w:rsidR="00F34CDE">
              <w:t xml:space="preserve">ανήλθε στο </w:t>
            </w:r>
            <w:r w:rsidR="00F34CDE" w:rsidRPr="00F34CDE">
              <w:rPr>
                <w:b/>
              </w:rPr>
              <w:t>40%</w:t>
            </w:r>
            <w:r w:rsidR="00F34CDE">
              <w:t xml:space="preserve">, τη δεύτερη στο </w:t>
            </w:r>
            <w:r w:rsidR="00F34CDE" w:rsidRPr="00F34CDE">
              <w:rPr>
                <w:b/>
              </w:rPr>
              <w:t>30%</w:t>
            </w:r>
            <w:r w:rsidR="00F34CDE">
              <w:t xml:space="preserve"> και την τρίτη στο </w:t>
            </w:r>
            <w:r w:rsidR="00F34CDE" w:rsidRPr="00F34CDE">
              <w:rPr>
                <w:b/>
              </w:rPr>
              <w:t>20%.</w:t>
            </w:r>
            <w:r w:rsidR="007E305A">
              <w:t xml:space="preserve"> </w:t>
            </w:r>
            <w:r w:rsidR="00F34CDE">
              <w:t>Η παραπάνω τάση</w:t>
            </w:r>
            <w:r w:rsidR="007E305A">
              <w:t xml:space="preserve"> αμβλύνθηκε σε ένα μικρό ποσοστό το τελευταίο χρονικό διάστημα, λόγω των θερινών εκπτώσεων.</w:t>
            </w:r>
          </w:p>
          <w:p w:rsidR="0035298C" w:rsidRDefault="0035298C" w:rsidP="0035298C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 xml:space="preserve">Στο λιανικό εμπόριο εκτός καυσίμων και τροφίμων, οι πωλήσεις καταποντίστηκαν περίπου κατά </w:t>
            </w:r>
            <w:r w:rsidRPr="0035298C">
              <w:rPr>
                <w:b/>
              </w:rPr>
              <w:t>900</w:t>
            </w:r>
            <w:r>
              <w:t xml:space="preserve"> </w:t>
            </w:r>
            <w:r w:rsidRPr="0035298C">
              <w:rPr>
                <w:b/>
              </w:rPr>
              <w:t>εκ.</w:t>
            </w:r>
            <w:r>
              <w:t xml:space="preserve"> ευρώ στο χρονικό διάστημα από τα τέλη Ιουνίου έως τα τέλη Ιουλίου του τρέχοντος έτους (εκτιμήσεις ΕΣΕΕ), σε σχέση πάντα με την ίδια περίοδο του 2014.</w:t>
            </w:r>
          </w:p>
          <w:p w:rsidR="007E305A" w:rsidRDefault="007E305A" w:rsidP="0035298C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 xml:space="preserve">Στα </w:t>
            </w:r>
            <w:r>
              <w:rPr>
                <w:lang w:val="en-US"/>
              </w:rPr>
              <w:t>Super</w:t>
            </w:r>
            <w:r w:rsidRPr="007E305A">
              <w:t xml:space="preserve"> </w:t>
            </w:r>
            <w:r>
              <w:rPr>
                <w:lang w:val="en-US"/>
              </w:rPr>
              <w:t>Markets</w:t>
            </w:r>
            <w:r w:rsidRPr="007E305A">
              <w:t xml:space="preserve"> </w:t>
            </w:r>
            <w:r>
              <w:t xml:space="preserve">η μείωση του κύκλου εργασιών προσέγγισε το </w:t>
            </w:r>
            <w:r w:rsidRPr="006D25DD">
              <w:rPr>
                <w:b/>
              </w:rPr>
              <w:t>5%  - 10%</w:t>
            </w:r>
            <w:r w:rsidR="0018362B">
              <w:t xml:space="preserve"> (εκτιμήσεις)</w:t>
            </w:r>
            <w:r>
              <w:t>, σε σύγκριση με το ίδιο χρονικό διάστημα του 2014.</w:t>
            </w:r>
          </w:p>
          <w:p w:rsidR="007E305A" w:rsidRDefault="007E305A" w:rsidP="0035298C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 xml:space="preserve">Οι πωλήσεις αυτοκινήτων εμφάνισαν πτώση κατά </w:t>
            </w:r>
            <w:r w:rsidRPr="006D25DD">
              <w:rPr>
                <w:b/>
              </w:rPr>
              <w:t>40%</w:t>
            </w:r>
            <w:r>
              <w:t xml:space="preserve"> τον Ιούλιο (εκτιμήσεις), με την έλλειψη ανταλλακτικών να </w:t>
            </w:r>
            <w:r w:rsidR="008D1F05">
              <w:t>γίνεται ιδιαίτερα αισθητή</w:t>
            </w:r>
            <w:r>
              <w:t>.</w:t>
            </w:r>
          </w:p>
          <w:p w:rsidR="006D25DD" w:rsidRDefault="006D25DD" w:rsidP="0035298C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 xml:space="preserve">Στη βιομηχανία η ελάττωση του τζίρου είναι της τάξεως του </w:t>
            </w:r>
            <w:r w:rsidRPr="006D25DD">
              <w:rPr>
                <w:b/>
              </w:rPr>
              <w:t>40% - 80%.</w:t>
            </w:r>
          </w:p>
          <w:p w:rsidR="007E305A" w:rsidRPr="00392EF8" w:rsidRDefault="007E305A" w:rsidP="0018362B">
            <w:pPr>
              <w:pStyle w:val="a4"/>
              <w:ind w:left="405"/>
              <w:jc w:val="both"/>
            </w:pPr>
          </w:p>
        </w:tc>
      </w:tr>
      <w:tr w:rsidR="001A2F74" w:rsidRPr="00392EF8" w:rsidTr="0035298C">
        <w:trPr>
          <w:trHeight w:val="983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F74" w:rsidRPr="00392EF8" w:rsidRDefault="001A2F74" w:rsidP="00392EF8">
            <w:pPr>
              <w:rPr>
                <w:b/>
              </w:rPr>
            </w:pPr>
            <w:r w:rsidRPr="00392EF8">
              <w:rPr>
                <w:b/>
                <w:lang w:val="en-US"/>
              </w:rPr>
              <w:t>E</w:t>
            </w:r>
            <w:r w:rsidRPr="00392EF8">
              <w:rPr>
                <w:b/>
              </w:rPr>
              <w:t>ξαγωγές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2F74" w:rsidRDefault="0088768E" w:rsidP="00420E11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 xml:space="preserve">Πτώση της τάξεως του </w:t>
            </w:r>
            <w:r w:rsidRPr="00420E11">
              <w:rPr>
                <w:b/>
              </w:rPr>
              <w:t>10% -12%</w:t>
            </w:r>
            <w:r>
              <w:t xml:space="preserve"> </w:t>
            </w:r>
            <w:r w:rsidR="00E00701">
              <w:t>αναμένεται να</w:t>
            </w:r>
            <w:r>
              <w:t xml:space="preserve"> εμφανίσουν και οι εξαγωγές </w:t>
            </w:r>
            <w:r w:rsidR="00266342">
              <w:t xml:space="preserve">τις τρεις πρώτες εβδομάδες εφαρμογής των </w:t>
            </w:r>
            <w:r w:rsidR="00266342" w:rsidRPr="00420E11">
              <w:rPr>
                <w:lang w:val="en-US"/>
              </w:rPr>
              <w:t>Capital</w:t>
            </w:r>
            <w:r w:rsidR="00266342" w:rsidRPr="00266342">
              <w:t xml:space="preserve"> </w:t>
            </w:r>
            <w:r w:rsidR="00266342" w:rsidRPr="00420E11">
              <w:rPr>
                <w:lang w:val="en-US"/>
              </w:rPr>
              <w:t>Controls</w:t>
            </w:r>
            <w:r w:rsidR="00420E11">
              <w:t xml:space="preserve"> (εκτιμήσεις</w:t>
            </w:r>
            <w:r w:rsidR="0075673A" w:rsidRPr="0075673A">
              <w:t>,</w:t>
            </w:r>
            <w:r w:rsidR="00420E11">
              <w:t xml:space="preserve"> Ιούλιος 2015)</w:t>
            </w:r>
            <w:r>
              <w:t xml:space="preserve">, με αποτέλεσμα να διαμορφωθούν περίπου στα </w:t>
            </w:r>
            <w:r w:rsidRPr="00420E11">
              <w:rPr>
                <w:b/>
              </w:rPr>
              <w:t>1,85 δις</w:t>
            </w:r>
            <w:r>
              <w:t xml:space="preserve"> ευρώ αντί </w:t>
            </w:r>
            <w:r w:rsidR="00E00701">
              <w:t xml:space="preserve">αρχικών </w:t>
            </w:r>
            <w:r>
              <w:t xml:space="preserve">προσδοκιών ύψους </w:t>
            </w:r>
            <w:r w:rsidRPr="00420E11">
              <w:rPr>
                <w:b/>
              </w:rPr>
              <w:t>2,1 δις</w:t>
            </w:r>
            <w:r>
              <w:t xml:space="preserve"> ευρώ.</w:t>
            </w:r>
          </w:p>
          <w:p w:rsidR="00DC0D85" w:rsidRDefault="00DC0D85" w:rsidP="00420E11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>Η αλληλεξάρτηση του εξαγωγικού εμπορίου από τις εισαγωγές είναι άμεση, καθώς ο</w:t>
            </w:r>
            <w:r w:rsidRPr="00DC0D85">
              <w:t xml:space="preserve">ι εξαγωγικές επιχειρήσεις </w:t>
            </w:r>
            <w:r>
              <w:t>προμηθεύονται</w:t>
            </w:r>
            <w:r w:rsidRPr="00DC0D85">
              <w:t xml:space="preserve"> πρώτες και βοηθητικές ύλες και υλικά συσκευασίας από εισαγωγείς. Έτσι το πρόβλημα των </w:t>
            </w:r>
            <w:r w:rsidRPr="00DC0D85">
              <w:rPr>
                <w:b/>
                <w:bCs/>
              </w:rPr>
              <w:t>εισαγωγέων</w:t>
            </w:r>
            <w:r w:rsidRPr="00DC0D85">
              <w:t xml:space="preserve"> μετατρέπεται σε πρόβλημα των εξαγωγέων, με αποτέλεσμα να υπάρχουν καθυστερήσεις στις παραγγελίες και οι ξένοι ανταγωνιστές να αποκτούν προβάδισμα στις διεθνείς αγορές. Εκτιμάται ότι περίπου το </w:t>
            </w:r>
            <w:r w:rsidRPr="00DC0D85">
              <w:rPr>
                <w:b/>
              </w:rPr>
              <w:t>75%</w:t>
            </w:r>
            <w:r w:rsidRPr="00DC0D85">
              <w:t xml:space="preserve"> των πρώτων υλών που χρησιμοποιεί η εγχώρια μεταποίηση είναι εισαγόμενο.</w:t>
            </w:r>
          </w:p>
          <w:p w:rsidR="00420E11" w:rsidRPr="00392EF8" w:rsidRDefault="00420E11" w:rsidP="005F247C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 w:rsidRPr="00420E11">
              <w:t xml:space="preserve">Σύμφωνα με τα στοιχεία της </w:t>
            </w:r>
            <w:r>
              <w:t>Τράπεζας της Ελλάδα</w:t>
            </w:r>
            <w:r w:rsidRPr="00420E11">
              <w:t xml:space="preserve">ς, τον περασμένο Μάιο σημειώθηκε </w:t>
            </w:r>
            <w:r w:rsidRPr="00420E11">
              <w:rPr>
                <w:b/>
              </w:rPr>
              <w:t>μείωση</w:t>
            </w:r>
            <w:r w:rsidRPr="00420E11">
              <w:t xml:space="preserve"> κατά </w:t>
            </w:r>
            <w:r w:rsidRPr="00420E11">
              <w:rPr>
                <w:b/>
              </w:rPr>
              <w:t>7,</w:t>
            </w:r>
            <w:r w:rsidR="005F247C">
              <w:rPr>
                <w:b/>
              </w:rPr>
              <w:t>3</w:t>
            </w:r>
            <w:r w:rsidRPr="00420E11">
              <w:rPr>
                <w:b/>
              </w:rPr>
              <w:t>%</w:t>
            </w:r>
            <w:r w:rsidRPr="00420E11">
              <w:t xml:space="preserve"> των συνολικών εσόδων από εξαγωγές αγαθών (</w:t>
            </w:r>
            <w:r w:rsidRPr="00420E11">
              <w:rPr>
                <w:b/>
              </w:rPr>
              <w:t>1,7</w:t>
            </w:r>
            <w:r w:rsidR="005F247C">
              <w:rPr>
                <w:b/>
              </w:rPr>
              <w:t>7</w:t>
            </w:r>
            <w:r w:rsidRPr="00420E11">
              <w:rPr>
                <w:b/>
              </w:rPr>
              <w:t xml:space="preserve"> δις</w:t>
            </w:r>
            <w:r w:rsidRPr="00420E11">
              <w:t xml:space="preserve"> ευρώ έναντι </w:t>
            </w:r>
            <w:r w:rsidRPr="00420E11">
              <w:rPr>
                <w:b/>
              </w:rPr>
              <w:t>1,9</w:t>
            </w:r>
            <w:r w:rsidR="005F247C">
              <w:rPr>
                <w:b/>
              </w:rPr>
              <w:t>1</w:t>
            </w:r>
            <w:r w:rsidRPr="00420E11">
              <w:rPr>
                <w:b/>
              </w:rPr>
              <w:t xml:space="preserve"> δις</w:t>
            </w:r>
            <w:r w:rsidRPr="00420E11">
              <w:t xml:space="preserve"> ευρώ του Μαΐου του 2014)</w:t>
            </w:r>
            <w:r>
              <w:t>,</w:t>
            </w:r>
            <w:r w:rsidRPr="00420E11">
              <w:t xml:space="preserve"> ενώ </w:t>
            </w:r>
            <w:r w:rsidRPr="00420E11">
              <w:rPr>
                <w:b/>
              </w:rPr>
              <w:t>μείωση</w:t>
            </w:r>
            <w:r w:rsidRPr="00420E11">
              <w:t xml:space="preserve"> κατά </w:t>
            </w:r>
            <w:r w:rsidRPr="00420E11">
              <w:rPr>
                <w:b/>
              </w:rPr>
              <w:t>3,6%</w:t>
            </w:r>
            <w:r w:rsidRPr="00420E11">
              <w:t xml:space="preserve"> προκύπτει και στα έσοδα από εξαγωγές, ακόμη κι αν </w:t>
            </w:r>
            <w:r w:rsidRPr="00420E11">
              <w:lastRenderedPageBreak/>
              <w:t xml:space="preserve">εξαιρεθούν τα πετρελαιοειδή. Σε επίπεδο </w:t>
            </w:r>
            <w:r w:rsidRPr="00420E11">
              <w:rPr>
                <w:b/>
              </w:rPr>
              <w:t>πενταμήνου 2015</w:t>
            </w:r>
            <w:r w:rsidRPr="00420E11">
              <w:t xml:space="preserve">, τα συνολικά έσοδα από εξαγωγές εμφανίζονται </w:t>
            </w:r>
            <w:r w:rsidRPr="00420E11">
              <w:rPr>
                <w:b/>
              </w:rPr>
              <w:t>μειωμένα</w:t>
            </w:r>
            <w:r w:rsidRPr="00420E11">
              <w:t xml:space="preserve"> κατά </w:t>
            </w:r>
            <w:r w:rsidRPr="00420E11">
              <w:rPr>
                <w:b/>
              </w:rPr>
              <w:t>7,8%</w:t>
            </w:r>
            <w:r w:rsidRPr="00420E11">
              <w:t xml:space="preserve"> σε σχέση με πέρυσι (στα </w:t>
            </w:r>
            <w:r w:rsidRPr="00420E11">
              <w:rPr>
                <w:b/>
              </w:rPr>
              <w:t>8,49 δι</w:t>
            </w:r>
            <w:r>
              <w:rPr>
                <w:b/>
              </w:rPr>
              <w:t xml:space="preserve">ς </w:t>
            </w:r>
            <w:r w:rsidRPr="00420E11">
              <w:t xml:space="preserve">ευρώ από </w:t>
            </w:r>
            <w:r w:rsidRPr="00420E11">
              <w:rPr>
                <w:b/>
              </w:rPr>
              <w:t>9,2</w:t>
            </w:r>
            <w:r w:rsidR="005F247C">
              <w:rPr>
                <w:b/>
              </w:rPr>
              <w:t>1</w:t>
            </w:r>
            <w:r w:rsidRPr="00420E11">
              <w:rPr>
                <w:b/>
              </w:rPr>
              <w:t xml:space="preserve"> δις</w:t>
            </w:r>
            <w:r w:rsidRPr="00420E11">
              <w:t xml:space="preserve"> ευρώ </w:t>
            </w:r>
            <w:r w:rsidR="005F247C">
              <w:t>σ</w:t>
            </w:r>
            <w:r w:rsidRPr="00420E11">
              <w:t>το</w:t>
            </w:r>
            <w:r w:rsidR="005F247C">
              <w:t xml:space="preserve"> αντίστοιχο διάστημα του</w:t>
            </w:r>
            <w:r w:rsidRPr="00420E11">
              <w:t xml:space="preserve"> 2014).</w:t>
            </w:r>
          </w:p>
        </w:tc>
      </w:tr>
      <w:tr w:rsidR="001A2F74" w:rsidRPr="00392EF8" w:rsidTr="008D1F05">
        <w:trPr>
          <w:trHeight w:val="187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F74" w:rsidRPr="00392EF8" w:rsidRDefault="001A2F74" w:rsidP="00392EF8">
            <w:r w:rsidRPr="00392EF8">
              <w:rPr>
                <w:b/>
                <w:lang w:val="en-US"/>
              </w:rPr>
              <w:lastRenderedPageBreak/>
              <w:t>Εισαγωγές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E61DF" w:rsidRDefault="00024A4B" w:rsidP="000E61DF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</w:pPr>
            <w:r>
              <w:t>Η μέχρι στιγμής απώλειες εκτιμώνται στ</w:t>
            </w:r>
            <w:r w:rsidR="00EF3ACE">
              <w:t>α</w:t>
            </w:r>
            <w:r>
              <w:t xml:space="preserve"> </w:t>
            </w:r>
            <w:r w:rsidR="006D25DD" w:rsidRPr="006D25DD">
              <w:rPr>
                <w:b/>
              </w:rPr>
              <w:t>1,5 -</w:t>
            </w:r>
            <w:r w:rsidR="00EF3ACE" w:rsidRPr="006D25DD">
              <w:rPr>
                <w:b/>
              </w:rPr>
              <w:t>2</w:t>
            </w:r>
            <w:r w:rsidRPr="006D25DD">
              <w:rPr>
                <w:b/>
              </w:rPr>
              <w:t>,</w:t>
            </w:r>
            <w:r w:rsidR="006D25DD" w:rsidRPr="006D25DD">
              <w:rPr>
                <w:b/>
              </w:rPr>
              <w:t>0</w:t>
            </w:r>
            <w:r w:rsidRPr="006D25DD">
              <w:rPr>
                <w:b/>
              </w:rPr>
              <w:t xml:space="preserve"> δις</w:t>
            </w:r>
            <w:r>
              <w:t xml:space="preserve"> ευρώ και</w:t>
            </w:r>
            <w:r w:rsidR="0088768E">
              <w:t xml:space="preserve"> αποτυπώνονται στις </w:t>
            </w:r>
            <w:r>
              <w:t xml:space="preserve"> </w:t>
            </w:r>
            <w:r w:rsidRPr="00024A4B">
              <w:t xml:space="preserve">ελλείψεις </w:t>
            </w:r>
            <w:r w:rsidR="0088768E">
              <w:t>πρώτων υλών</w:t>
            </w:r>
            <w:r w:rsidRPr="00024A4B">
              <w:t>, απορρυπαντικ</w:t>
            </w:r>
            <w:r w:rsidR="0088768E">
              <w:t>ών</w:t>
            </w:r>
            <w:r w:rsidRPr="00024A4B">
              <w:t>, ζωοτροφ</w:t>
            </w:r>
            <w:r w:rsidR="0088768E">
              <w:t>ών</w:t>
            </w:r>
            <w:r w:rsidRPr="00024A4B">
              <w:t xml:space="preserve">, </w:t>
            </w:r>
            <w:r w:rsidR="0088768E">
              <w:t>λιπασμάτων</w:t>
            </w:r>
            <w:r w:rsidRPr="00024A4B">
              <w:t>, ελαστικ</w:t>
            </w:r>
            <w:r w:rsidR="0088768E">
              <w:t>ών</w:t>
            </w:r>
            <w:r w:rsidRPr="00024A4B">
              <w:t>, ανταλλακτικ</w:t>
            </w:r>
            <w:r w:rsidR="0088768E">
              <w:t xml:space="preserve">ών ηλεκτρολογικού και μηχανολογικού εξοπλισμού για εστίαση-ξενοδοχεία-νοσοκομεία, </w:t>
            </w:r>
            <w:r w:rsidRPr="00024A4B">
              <w:t>ηλεκτρικών συσκευών</w:t>
            </w:r>
            <w:r w:rsidR="0088768E">
              <w:t xml:space="preserve"> κ.α.</w:t>
            </w:r>
            <w:r w:rsidR="00420E11">
              <w:t xml:space="preserve">) </w:t>
            </w:r>
            <w:r w:rsidR="0088768E">
              <w:t>Αντί διενέργειας εισαγωγών αξίας</w:t>
            </w:r>
            <w:r w:rsidR="006D25DD">
              <w:t xml:space="preserve"> </w:t>
            </w:r>
            <w:r w:rsidR="006D25DD" w:rsidRPr="006D25DD">
              <w:rPr>
                <w:b/>
              </w:rPr>
              <w:t>3,5</w:t>
            </w:r>
            <w:r w:rsidR="006D25DD">
              <w:t xml:space="preserve"> </w:t>
            </w:r>
            <w:r w:rsidR="006D25DD" w:rsidRPr="006D25DD">
              <w:rPr>
                <w:b/>
              </w:rPr>
              <w:t xml:space="preserve">- </w:t>
            </w:r>
            <w:r w:rsidR="0088768E" w:rsidRPr="006D25DD">
              <w:rPr>
                <w:b/>
              </w:rPr>
              <w:t xml:space="preserve"> 4</w:t>
            </w:r>
            <w:r w:rsidR="00EF3ACE" w:rsidRPr="006D25DD">
              <w:rPr>
                <w:b/>
              </w:rPr>
              <w:t>,</w:t>
            </w:r>
            <w:r w:rsidR="006D25DD">
              <w:rPr>
                <w:b/>
              </w:rPr>
              <w:t>0</w:t>
            </w:r>
            <w:r w:rsidR="0088768E" w:rsidRPr="00420E11">
              <w:rPr>
                <w:b/>
              </w:rPr>
              <w:t xml:space="preserve"> δις</w:t>
            </w:r>
            <w:r w:rsidR="0088768E">
              <w:t xml:space="preserve"> ευρώ</w:t>
            </w:r>
            <w:r w:rsidR="00EF3ACE">
              <w:t xml:space="preserve"> (στο αντίστοιχο περυσινό διάστημα)</w:t>
            </w:r>
            <w:r w:rsidR="0088768E">
              <w:t xml:space="preserve">, τελικά εισήχθησαν προϊόντα </w:t>
            </w:r>
            <w:r w:rsidR="006D25DD" w:rsidRPr="006D25DD">
              <w:rPr>
                <w:b/>
              </w:rPr>
              <w:t>1,5 – 2,0</w:t>
            </w:r>
            <w:r w:rsidR="006D25DD">
              <w:t xml:space="preserve"> δ</w:t>
            </w:r>
            <w:r w:rsidR="0088768E" w:rsidRPr="00420E11">
              <w:rPr>
                <w:b/>
              </w:rPr>
              <w:t>ις</w:t>
            </w:r>
            <w:r w:rsidR="0088768E">
              <w:t xml:space="preserve"> ευρώ</w:t>
            </w:r>
            <w:r w:rsidR="000E61DF">
              <w:t>.</w:t>
            </w:r>
          </w:p>
          <w:p w:rsidR="000E61DF" w:rsidRDefault="000E61DF" w:rsidP="000E61DF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</w:pPr>
            <w:r w:rsidRPr="000E61DF">
              <w:t xml:space="preserve">Σύμφωνα με τα στοιχεία που συγκέντρωσε ο Σύνδεσμος Ελληνικών Επιχειρήσεων Τροφίμων (ΣΕΕΤ) από τα μέλη του, ως και τις 23 Ιουλίου είχαν εγκριθεί πληρωμές για εισαγωγές τροφίμων που αντιστοιχούν μόνο στο </w:t>
            </w:r>
            <w:r w:rsidRPr="000E61DF">
              <w:rPr>
                <w:b/>
              </w:rPr>
              <w:t>7%</w:t>
            </w:r>
            <w:r w:rsidRPr="000E61DF">
              <w:t xml:space="preserve"> του αριθμού και στο </w:t>
            </w:r>
            <w:r w:rsidRPr="000E61DF">
              <w:rPr>
                <w:b/>
              </w:rPr>
              <w:t>10,5%</w:t>
            </w:r>
            <w:r w:rsidRPr="000E61DF">
              <w:t xml:space="preserve"> της αξίας των αιτημάτων που έχουν υποβληθεί. Αν αναλογιστεί κανείς ότι τα </w:t>
            </w:r>
            <w:r w:rsidRPr="000E61DF">
              <w:rPr>
                <w:b/>
              </w:rPr>
              <w:t>2/3</w:t>
            </w:r>
            <w:r w:rsidRPr="000E61DF">
              <w:t xml:space="preserve"> των τροφίμων εισάγονται, γίνεται αντιληπτό πως στα ράφια των σουπερμάρκετ τον Αύγουστο θα καταγραφούν οι πρώτες </w:t>
            </w:r>
            <w:r w:rsidRPr="000E61DF">
              <w:rPr>
                <w:b/>
              </w:rPr>
              <w:t>ελλείψεις αγαθών</w:t>
            </w:r>
            <w:r w:rsidRPr="000E61DF">
              <w:t>.</w:t>
            </w:r>
          </w:p>
          <w:p w:rsidR="00A812F3" w:rsidRDefault="000E61DF" w:rsidP="00DC0D85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</w:pPr>
            <w:r>
              <w:t>Λόγω της μη δυνατότητας αποστολής εμβασμάτων στο εξωτερικό</w:t>
            </w:r>
            <w:r w:rsidRPr="000E61DF">
              <w:t xml:space="preserve">, οι επιχειρήσεις δεν μπορούν να </w:t>
            </w:r>
            <w:r w:rsidRPr="000E61DF">
              <w:rPr>
                <w:b/>
                <w:bCs/>
              </w:rPr>
              <w:t>εκτελωνίσουν</w:t>
            </w:r>
            <w:r w:rsidRPr="000E61DF">
              <w:t xml:space="preserve"> φορτία. Αυτό συνεπάγεται σημαντικές καθυστερήσεις στα τελωνεία με επιπτώσεις στα ευπαθή προϊόντα. </w:t>
            </w:r>
            <w:r w:rsidR="00DC0D85" w:rsidRPr="000E61DF">
              <w:t>Ήδη</w:t>
            </w:r>
            <w:r w:rsidRPr="000E61DF">
              <w:t xml:space="preserve"> στα λιμάνια της χώρας βρίσκονται εγκλωβισμένα </w:t>
            </w:r>
            <w:r w:rsidR="00235E60">
              <w:t xml:space="preserve">περίπου  </w:t>
            </w:r>
            <w:r w:rsidR="00235E60" w:rsidRPr="00235E60">
              <w:rPr>
                <w:b/>
              </w:rPr>
              <w:t>4</w:t>
            </w:r>
            <w:r w:rsidRPr="00235E60">
              <w:rPr>
                <w:b/>
              </w:rPr>
              <w:t>.</w:t>
            </w:r>
            <w:r w:rsidR="00235E60">
              <w:rPr>
                <w:b/>
              </w:rPr>
              <w:t>5</w:t>
            </w:r>
            <w:r w:rsidRPr="005F247C">
              <w:rPr>
                <w:b/>
              </w:rPr>
              <w:t>00</w:t>
            </w:r>
            <w:r w:rsidRPr="000E61DF">
              <w:t xml:space="preserve"> κοντέινερ.</w:t>
            </w:r>
          </w:p>
          <w:p w:rsidR="001A2F74" w:rsidRPr="00392EF8" w:rsidRDefault="00A812F3" w:rsidP="00CC448D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</w:pPr>
            <w:r w:rsidRPr="00420E11">
              <w:t xml:space="preserve">Σύμφωνα με τα στοιχεία της </w:t>
            </w:r>
            <w:r>
              <w:t>Τράπεζας της Ελλάδα</w:t>
            </w:r>
            <w:r w:rsidRPr="00420E11">
              <w:t>ς, τον περασμένο Μάιο σημειώθηκε</w:t>
            </w:r>
            <w:r w:rsidR="00EC19BC">
              <w:t xml:space="preserve"> σημαντική</w:t>
            </w:r>
            <w:r w:rsidRPr="00420E11">
              <w:t xml:space="preserve"> </w:t>
            </w:r>
            <w:r w:rsidRPr="00420E11">
              <w:rPr>
                <w:b/>
              </w:rPr>
              <w:t>μείωση</w:t>
            </w:r>
            <w:r w:rsidRPr="00420E11">
              <w:t xml:space="preserve"> κατά </w:t>
            </w:r>
            <w:r w:rsidR="00EC19BC">
              <w:rPr>
                <w:b/>
              </w:rPr>
              <w:t>18</w:t>
            </w:r>
            <w:r w:rsidRPr="00420E11">
              <w:rPr>
                <w:b/>
              </w:rPr>
              <w:t>,</w:t>
            </w:r>
            <w:r w:rsidR="00EC19BC">
              <w:rPr>
                <w:b/>
              </w:rPr>
              <w:t>4</w:t>
            </w:r>
            <w:r w:rsidRPr="00420E11">
              <w:rPr>
                <w:b/>
              </w:rPr>
              <w:t>%</w:t>
            </w:r>
            <w:r w:rsidRPr="00420E11">
              <w:t xml:space="preserve"> των συνολικών </w:t>
            </w:r>
            <w:r>
              <w:t>δαπανών</w:t>
            </w:r>
            <w:r w:rsidRPr="00420E11">
              <w:t xml:space="preserve"> </w:t>
            </w:r>
            <w:r>
              <w:t>για</w:t>
            </w:r>
            <w:r w:rsidRPr="00420E11">
              <w:t xml:space="preserve"> </w:t>
            </w:r>
            <w:r>
              <w:t>εισαγωγές</w:t>
            </w:r>
            <w:r w:rsidRPr="00420E11">
              <w:t xml:space="preserve"> αγαθών (</w:t>
            </w:r>
            <w:r w:rsidR="00EC19BC">
              <w:rPr>
                <w:b/>
              </w:rPr>
              <w:t>2</w:t>
            </w:r>
            <w:r w:rsidRPr="00420E11">
              <w:rPr>
                <w:b/>
              </w:rPr>
              <w:t>,7</w:t>
            </w:r>
            <w:r w:rsidR="00EC19BC">
              <w:rPr>
                <w:b/>
              </w:rPr>
              <w:t>5</w:t>
            </w:r>
            <w:r w:rsidRPr="00420E11">
              <w:rPr>
                <w:b/>
              </w:rPr>
              <w:t xml:space="preserve"> δις</w:t>
            </w:r>
            <w:r w:rsidRPr="00420E11">
              <w:t xml:space="preserve"> ευρώ έναντι </w:t>
            </w:r>
            <w:r w:rsidR="00EC19BC">
              <w:rPr>
                <w:b/>
              </w:rPr>
              <w:t>3</w:t>
            </w:r>
            <w:r w:rsidRPr="00420E11">
              <w:rPr>
                <w:b/>
              </w:rPr>
              <w:t>,</w:t>
            </w:r>
            <w:r w:rsidR="00EC19BC">
              <w:rPr>
                <w:b/>
              </w:rPr>
              <w:t>37</w:t>
            </w:r>
            <w:r w:rsidRPr="00420E11">
              <w:rPr>
                <w:b/>
              </w:rPr>
              <w:t xml:space="preserve"> δις</w:t>
            </w:r>
            <w:r w:rsidRPr="00420E11">
              <w:t xml:space="preserve"> ευρώ του Μαΐου του 2014). Σε επίπεδο </w:t>
            </w:r>
            <w:r w:rsidRPr="00420E11">
              <w:rPr>
                <w:b/>
              </w:rPr>
              <w:t>πενταμήνου 2015</w:t>
            </w:r>
            <w:r w:rsidRPr="00420E11">
              <w:t xml:space="preserve">, </w:t>
            </w:r>
            <w:r w:rsidR="00EC19BC">
              <w:t>οι συνολικές δαπάνες</w:t>
            </w:r>
            <w:r w:rsidRPr="00420E11">
              <w:t xml:space="preserve"> </w:t>
            </w:r>
            <w:r w:rsidR="00EC19BC">
              <w:t xml:space="preserve">για </w:t>
            </w:r>
            <w:r w:rsidRPr="00420E11">
              <w:t xml:space="preserve"> </w:t>
            </w:r>
            <w:r w:rsidR="00EC19BC">
              <w:t xml:space="preserve">εισαγωγές </w:t>
            </w:r>
            <w:r w:rsidRPr="00420E11">
              <w:t xml:space="preserve"> εμφανίζονται </w:t>
            </w:r>
            <w:r w:rsidRPr="00420E11">
              <w:rPr>
                <w:b/>
              </w:rPr>
              <w:t>μειωμέν</w:t>
            </w:r>
            <w:r w:rsidR="00EC19BC">
              <w:rPr>
                <w:b/>
              </w:rPr>
              <w:t>ες</w:t>
            </w:r>
            <w:r w:rsidRPr="00420E11">
              <w:t xml:space="preserve"> κατά </w:t>
            </w:r>
            <w:r w:rsidR="00EC19BC">
              <w:rPr>
                <w:b/>
              </w:rPr>
              <w:t>9</w:t>
            </w:r>
            <w:r w:rsidRPr="00420E11">
              <w:rPr>
                <w:b/>
              </w:rPr>
              <w:t>,</w:t>
            </w:r>
            <w:r w:rsidR="00EC19BC">
              <w:rPr>
                <w:b/>
              </w:rPr>
              <w:t>6</w:t>
            </w:r>
            <w:r w:rsidRPr="00420E11">
              <w:rPr>
                <w:b/>
              </w:rPr>
              <w:t>%</w:t>
            </w:r>
            <w:r w:rsidRPr="00420E11">
              <w:t xml:space="preserve"> σε σχέση με πέρυσι (στα </w:t>
            </w:r>
            <w:r w:rsidR="00EC19BC">
              <w:rPr>
                <w:b/>
              </w:rPr>
              <w:t>15</w:t>
            </w:r>
            <w:r w:rsidRPr="00420E11">
              <w:rPr>
                <w:b/>
              </w:rPr>
              <w:t>,</w:t>
            </w:r>
            <w:r w:rsidR="00EC19BC">
              <w:rPr>
                <w:b/>
              </w:rPr>
              <w:t>31</w:t>
            </w:r>
            <w:r w:rsidRPr="00420E11">
              <w:rPr>
                <w:b/>
              </w:rPr>
              <w:t xml:space="preserve"> δι</w:t>
            </w:r>
            <w:r>
              <w:rPr>
                <w:b/>
              </w:rPr>
              <w:t xml:space="preserve">ς </w:t>
            </w:r>
            <w:r w:rsidRPr="00420E11">
              <w:t xml:space="preserve">ευρώ από </w:t>
            </w:r>
            <w:r w:rsidR="00EC19BC">
              <w:rPr>
                <w:b/>
              </w:rPr>
              <w:t>16</w:t>
            </w:r>
            <w:r w:rsidRPr="00420E11">
              <w:rPr>
                <w:b/>
              </w:rPr>
              <w:t>,</w:t>
            </w:r>
            <w:r w:rsidR="00EC19BC">
              <w:rPr>
                <w:b/>
              </w:rPr>
              <w:t>93</w:t>
            </w:r>
            <w:r w:rsidRPr="00420E11">
              <w:rPr>
                <w:b/>
              </w:rPr>
              <w:t xml:space="preserve"> δις</w:t>
            </w:r>
            <w:r w:rsidRPr="00420E11">
              <w:t xml:space="preserve"> ευρώ </w:t>
            </w:r>
            <w:r>
              <w:t>σ</w:t>
            </w:r>
            <w:r w:rsidRPr="00420E11">
              <w:t>το</w:t>
            </w:r>
            <w:r>
              <w:t xml:space="preserve"> αντίστοιχο </w:t>
            </w:r>
            <w:r w:rsidR="00CC448D">
              <w:t>πεντάμηνο</w:t>
            </w:r>
            <w:r>
              <w:t xml:space="preserve"> του</w:t>
            </w:r>
            <w:r w:rsidRPr="00420E11">
              <w:t xml:space="preserve"> 2014).</w:t>
            </w:r>
            <w:r w:rsidR="00024A4B" w:rsidRPr="00024A4B">
              <w:br/>
            </w:r>
          </w:p>
        </w:tc>
      </w:tr>
      <w:tr w:rsidR="001A2F74" w:rsidRPr="00392EF8" w:rsidTr="008D1F05">
        <w:trPr>
          <w:trHeight w:val="656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1A2F74" w:rsidRPr="00392EF8" w:rsidRDefault="001A2F74" w:rsidP="00392EF8">
            <w:pPr>
              <w:rPr>
                <w:b/>
              </w:rPr>
            </w:pPr>
            <w:r w:rsidRPr="00392EF8">
              <w:rPr>
                <w:b/>
              </w:rPr>
              <w:lastRenderedPageBreak/>
              <w:t>ΑΕΠ</w:t>
            </w:r>
          </w:p>
        </w:tc>
        <w:tc>
          <w:tcPr>
            <w:tcW w:w="7371" w:type="dxa"/>
            <w:shd w:val="clear" w:color="auto" w:fill="B8CCE4" w:themeFill="accent1" w:themeFillTint="66"/>
            <w:vAlign w:val="center"/>
          </w:tcPr>
          <w:p w:rsidR="000E61DF" w:rsidRDefault="00024A4B" w:rsidP="000E61DF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>Οι π</w:t>
            </w:r>
            <w:r w:rsidR="001A2F74">
              <w:t>ροβλέψεις για συρρίκνωση του ΑΕΠ</w:t>
            </w:r>
            <w:r>
              <w:t xml:space="preserve"> από το Β΄ Εξάμηνο του έτους και μετά (Ιούλιος-Δεκέμβριος 2015), κυμαίνονται στα επίπεδα του </w:t>
            </w:r>
            <w:r w:rsidRPr="000E61DF">
              <w:rPr>
                <w:b/>
              </w:rPr>
              <w:t>1</w:t>
            </w:r>
            <w:r>
              <w:t xml:space="preserve"> έως </w:t>
            </w:r>
            <w:r w:rsidRPr="000E61DF">
              <w:rPr>
                <w:b/>
              </w:rPr>
              <w:t>3 δις</w:t>
            </w:r>
            <w:r>
              <w:t xml:space="preserve">  ευρώ σε μηνιαία βάση</w:t>
            </w:r>
            <w:r w:rsidR="000E61DF">
              <w:t xml:space="preserve">, με τις σωρευτικές ετήσιες απώλειες το 2015 να  ανέρχονται στα </w:t>
            </w:r>
            <w:r w:rsidR="000E61DF" w:rsidRPr="000E61DF">
              <w:rPr>
                <w:b/>
              </w:rPr>
              <w:t>7</w:t>
            </w:r>
            <w:r w:rsidR="000E61DF">
              <w:t xml:space="preserve"> έως </w:t>
            </w:r>
            <w:r w:rsidR="000E61DF" w:rsidRPr="000E61DF">
              <w:rPr>
                <w:b/>
              </w:rPr>
              <w:t>18 δις</w:t>
            </w:r>
            <w:r w:rsidR="000E61DF">
              <w:t xml:space="preserve"> ευρώ. </w:t>
            </w:r>
          </w:p>
          <w:p w:rsidR="001A2F74" w:rsidRDefault="000E61DF" w:rsidP="000E61DF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 xml:space="preserve">Ως αποτέλεσμα του πλήγματος που έχει υποστεί η ελληνική οικονομία, η ύφεση για το τρέχον έτος, σύμφωνα με τις ευοίωνες προβλέψεις, θα ανέλθει περίπου στο </w:t>
            </w:r>
            <w:r w:rsidRPr="000E61DF">
              <w:rPr>
                <w:b/>
              </w:rPr>
              <w:t>4%</w:t>
            </w:r>
            <w:r>
              <w:t>.</w:t>
            </w:r>
          </w:p>
          <w:p w:rsidR="006D25DD" w:rsidRDefault="006D25DD" w:rsidP="006D25DD">
            <w:pPr>
              <w:spacing w:before="120"/>
              <w:jc w:val="both"/>
              <w:rPr>
                <w:i/>
                <w:sz w:val="20"/>
                <w:szCs w:val="20"/>
                <w:u w:val="single"/>
              </w:rPr>
            </w:pPr>
            <w:r>
              <w:t xml:space="preserve">       </w:t>
            </w:r>
            <w:r w:rsidRPr="006D25DD">
              <w:rPr>
                <w:b/>
                <w:i/>
              </w:rPr>
              <w:t xml:space="preserve">  </w:t>
            </w:r>
            <w:r w:rsidRPr="006D25DD">
              <w:rPr>
                <w:b/>
                <w:i/>
                <w:u w:val="single"/>
              </w:rPr>
              <w:t>Γραφείο Προϋπολογισμού της Βουλής</w:t>
            </w:r>
            <w:r w:rsidR="00774BC6">
              <w:rPr>
                <w:b/>
                <w:i/>
                <w:u w:val="single"/>
              </w:rPr>
              <w:t xml:space="preserve"> </w:t>
            </w:r>
            <w:r w:rsidRPr="006D25DD">
              <w:rPr>
                <w:i/>
                <w:sz w:val="20"/>
                <w:szCs w:val="20"/>
                <w:u w:val="single"/>
              </w:rPr>
              <w:t>(δυσοίωνες εκτιμήσεις):</w:t>
            </w:r>
          </w:p>
          <w:p w:rsidR="00052720" w:rsidRPr="006D25DD" w:rsidRDefault="00052720" w:rsidP="006D25DD">
            <w:pPr>
              <w:spacing w:before="120"/>
              <w:jc w:val="both"/>
              <w:rPr>
                <w:b/>
                <w:i/>
                <w:u w:val="single"/>
              </w:rPr>
            </w:pPr>
          </w:p>
          <w:tbl>
            <w:tblPr>
              <w:tblStyle w:val="a3"/>
              <w:tblW w:w="6627" w:type="dxa"/>
              <w:tblInd w:w="107" w:type="dxa"/>
              <w:shd w:val="clear" w:color="auto" w:fill="FFC000"/>
              <w:tblLook w:val="04A0"/>
            </w:tblPr>
            <w:tblGrid>
              <w:gridCol w:w="2552"/>
              <w:gridCol w:w="2189"/>
              <w:gridCol w:w="1886"/>
            </w:tblGrid>
            <w:tr w:rsidR="00052720" w:rsidTr="0051520D">
              <w:trPr>
                <w:trHeight w:val="392"/>
              </w:trPr>
              <w:tc>
                <w:tcPr>
                  <w:tcW w:w="6627" w:type="dxa"/>
                  <w:gridSpan w:val="3"/>
                  <w:shd w:val="clear" w:color="auto" w:fill="FFC000"/>
                </w:tcPr>
                <w:p w:rsidR="00052720" w:rsidRPr="00052720" w:rsidRDefault="00052720" w:rsidP="00052720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t xml:space="preserve">   </w:t>
                  </w:r>
                  <w:r w:rsidRPr="00052720">
                    <w:rPr>
                      <w:b/>
                    </w:rPr>
                    <w:t>Εβδομαδιαίες επι</w:t>
                  </w:r>
                  <w:r>
                    <w:rPr>
                      <w:b/>
                    </w:rPr>
                    <w:t>π</w:t>
                  </w:r>
                  <w:r w:rsidRPr="00052720">
                    <w:rPr>
                      <w:b/>
                    </w:rPr>
                    <w:t xml:space="preserve">τώσεις των </w:t>
                  </w:r>
                  <w:r w:rsidRPr="00052720">
                    <w:rPr>
                      <w:b/>
                      <w:lang w:val="en-US"/>
                    </w:rPr>
                    <w:t>Capital</w:t>
                  </w:r>
                  <w:r w:rsidRPr="00052720">
                    <w:rPr>
                      <w:b/>
                    </w:rPr>
                    <w:t xml:space="preserve"> </w:t>
                  </w:r>
                  <w:r w:rsidRPr="00052720">
                    <w:rPr>
                      <w:b/>
                      <w:lang w:val="en-US"/>
                    </w:rPr>
                    <w:t>Controls</w:t>
                  </w:r>
                  <w:r w:rsidRPr="00052720">
                    <w:rPr>
                      <w:b/>
                    </w:rPr>
                    <w:t xml:space="preserve"> σε ΑΕΠ</w:t>
                  </w:r>
                  <w:r w:rsidR="00D64C43">
                    <w:rPr>
                      <w:b/>
                    </w:rPr>
                    <w:t xml:space="preserve">           </w:t>
                  </w:r>
                  <w:r w:rsidR="005033DF">
                    <w:rPr>
                      <w:b/>
                    </w:rPr>
                    <w:t xml:space="preserve"> </w:t>
                  </w:r>
                  <w:r w:rsidR="00D64C43" w:rsidRPr="005033DF">
                    <w:rPr>
                      <w:i/>
                      <w:sz w:val="20"/>
                      <w:szCs w:val="20"/>
                    </w:rPr>
                    <w:t>(Γραφείο Προϋπολογισμού της Βουλής)</w:t>
                  </w:r>
                </w:p>
              </w:tc>
            </w:tr>
            <w:tr w:rsidR="00052720" w:rsidTr="0051520D">
              <w:tc>
                <w:tcPr>
                  <w:tcW w:w="2552" w:type="dxa"/>
                  <w:vMerge w:val="restart"/>
                  <w:shd w:val="clear" w:color="auto" w:fill="FFC000"/>
                </w:tcPr>
                <w:p w:rsidR="00052720" w:rsidRPr="00774BC6" w:rsidRDefault="00052720" w:rsidP="00052720">
                  <w:pPr>
                    <w:spacing w:before="120"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075" w:type="dxa"/>
                  <w:gridSpan w:val="2"/>
                  <w:shd w:val="clear" w:color="auto" w:fill="FFC000"/>
                  <w:vAlign w:val="center"/>
                </w:tcPr>
                <w:p w:rsidR="00052720" w:rsidRPr="00774BC6" w:rsidRDefault="00052720" w:rsidP="00052720">
                  <w:pPr>
                    <w:spacing w:before="120"/>
                    <w:jc w:val="center"/>
                    <w:rPr>
                      <w:sz w:val="21"/>
                      <w:szCs w:val="21"/>
                    </w:rPr>
                  </w:pPr>
                  <w:r w:rsidRPr="00774BC6">
                    <w:rPr>
                      <w:b/>
                      <w:sz w:val="21"/>
                      <w:szCs w:val="21"/>
                    </w:rPr>
                    <w:t>Μείωση</w:t>
                  </w:r>
                  <w:r w:rsidRPr="00774BC6">
                    <w:rPr>
                      <w:sz w:val="21"/>
                      <w:szCs w:val="21"/>
                    </w:rPr>
                    <w:t xml:space="preserve"> της </w:t>
                  </w:r>
                  <w:r w:rsidR="00F4581E" w:rsidRPr="0075673A">
                    <w:rPr>
                      <w:b/>
                      <w:sz w:val="21"/>
                      <w:szCs w:val="21"/>
                    </w:rPr>
                    <w:t>Κ</w:t>
                  </w:r>
                  <w:r w:rsidRPr="0075673A">
                    <w:rPr>
                      <w:b/>
                      <w:sz w:val="21"/>
                      <w:szCs w:val="21"/>
                    </w:rPr>
                    <w:t>ατανάλωσης</w:t>
                  </w:r>
                </w:p>
              </w:tc>
            </w:tr>
            <w:tr w:rsidR="0051520D" w:rsidTr="0051520D">
              <w:trPr>
                <w:trHeight w:val="550"/>
              </w:trPr>
              <w:tc>
                <w:tcPr>
                  <w:tcW w:w="2552" w:type="dxa"/>
                  <w:vMerge/>
                  <w:shd w:val="clear" w:color="auto" w:fill="FFC000"/>
                </w:tcPr>
                <w:p w:rsidR="00052720" w:rsidRPr="00774BC6" w:rsidRDefault="00052720" w:rsidP="00052720">
                  <w:pPr>
                    <w:spacing w:before="12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89" w:type="dxa"/>
                  <w:shd w:val="clear" w:color="auto" w:fill="FFC000"/>
                </w:tcPr>
                <w:p w:rsidR="00052720" w:rsidRPr="00774BC6" w:rsidRDefault="00052720" w:rsidP="00052720">
                  <w:pPr>
                    <w:spacing w:before="120"/>
                    <w:jc w:val="center"/>
                    <w:rPr>
                      <w:sz w:val="21"/>
                      <w:szCs w:val="21"/>
                    </w:rPr>
                  </w:pPr>
                  <w:r w:rsidRPr="00774BC6">
                    <w:rPr>
                      <w:sz w:val="21"/>
                      <w:szCs w:val="21"/>
                    </w:rPr>
                    <w:t xml:space="preserve">Κατά </w:t>
                  </w:r>
                  <w:r w:rsidRPr="00774BC6">
                    <w:rPr>
                      <w:b/>
                      <w:sz w:val="21"/>
                      <w:szCs w:val="21"/>
                    </w:rPr>
                    <w:t>50%</w:t>
                  </w:r>
                  <w:r w:rsidRPr="00774BC6">
                    <w:rPr>
                      <w:sz w:val="21"/>
                      <w:szCs w:val="21"/>
                    </w:rPr>
                    <w:t xml:space="preserve">                      </w:t>
                  </w:r>
                  <w:r w:rsidRPr="00E00701">
                    <w:rPr>
                      <w:i/>
                      <w:sz w:val="20"/>
                      <w:szCs w:val="20"/>
                    </w:rPr>
                    <w:t>(1</w:t>
                  </w:r>
                  <w:r w:rsidRPr="00E00701">
                    <w:rPr>
                      <w:i/>
                      <w:sz w:val="20"/>
                      <w:szCs w:val="20"/>
                      <w:vertAlign w:val="superscript"/>
                    </w:rPr>
                    <w:t>ο</w:t>
                  </w:r>
                  <w:r w:rsidRPr="00E00701">
                    <w:rPr>
                      <w:i/>
                      <w:sz w:val="20"/>
                      <w:szCs w:val="20"/>
                    </w:rPr>
                    <w:t xml:space="preserve"> σενάριο)</w:t>
                  </w:r>
                </w:p>
              </w:tc>
              <w:tc>
                <w:tcPr>
                  <w:tcW w:w="1886" w:type="dxa"/>
                  <w:shd w:val="clear" w:color="auto" w:fill="FFC000"/>
                </w:tcPr>
                <w:p w:rsidR="00052720" w:rsidRPr="00774BC6" w:rsidRDefault="00052720" w:rsidP="00052720">
                  <w:pPr>
                    <w:spacing w:before="120"/>
                    <w:jc w:val="center"/>
                    <w:rPr>
                      <w:sz w:val="21"/>
                      <w:szCs w:val="21"/>
                    </w:rPr>
                  </w:pPr>
                  <w:r w:rsidRPr="00774BC6">
                    <w:rPr>
                      <w:sz w:val="21"/>
                      <w:szCs w:val="21"/>
                    </w:rPr>
                    <w:t xml:space="preserve">Κατά </w:t>
                  </w:r>
                  <w:r w:rsidRPr="00774BC6">
                    <w:rPr>
                      <w:b/>
                      <w:sz w:val="21"/>
                      <w:szCs w:val="21"/>
                    </w:rPr>
                    <w:t xml:space="preserve">80%              </w:t>
                  </w:r>
                  <w:r w:rsidRPr="00774BC6">
                    <w:rPr>
                      <w:sz w:val="21"/>
                      <w:szCs w:val="21"/>
                    </w:rPr>
                    <w:t xml:space="preserve"> </w:t>
                  </w:r>
                  <w:r w:rsidRPr="00E00701">
                    <w:rPr>
                      <w:i/>
                      <w:sz w:val="20"/>
                      <w:szCs w:val="20"/>
                    </w:rPr>
                    <w:t>(2</w:t>
                  </w:r>
                  <w:r w:rsidRPr="00E00701">
                    <w:rPr>
                      <w:i/>
                      <w:sz w:val="20"/>
                      <w:szCs w:val="20"/>
                      <w:vertAlign w:val="superscript"/>
                    </w:rPr>
                    <w:t>ο</w:t>
                  </w:r>
                  <w:r w:rsidRPr="00E00701">
                    <w:rPr>
                      <w:i/>
                      <w:sz w:val="20"/>
                      <w:szCs w:val="20"/>
                    </w:rPr>
                    <w:t xml:space="preserve"> σενάριο)</w:t>
                  </w:r>
                </w:p>
              </w:tc>
            </w:tr>
            <w:tr w:rsidR="0051520D" w:rsidTr="0051520D">
              <w:tc>
                <w:tcPr>
                  <w:tcW w:w="2552" w:type="dxa"/>
                  <w:shd w:val="clear" w:color="auto" w:fill="FFC000"/>
                </w:tcPr>
                <w:p w:rsidR="00052720" w:rsidRPr="00774BC6" w:rsidRDefault="00052720" w:rsidP="006D25DD">
                  <w:pPr>
                    <w:spacing w:before="120"/>
                    <w:jc w:val="both"/>
                    <w:rPr>
                      <w:sz w:val="21"/>
                      <w:szCs w:val="21"/>
                    </w:rPr>
                  </w:pPr>
                  <w:r w:rsidRPr="00774BC6">
                    <w:rPr>
                      <w:sz w:val="21"/>
                      <w:szCs w:val="21"/>
                    </w:rPr>
                    <w:t>Μείωση ΑΕΠ/εβδομάδα</w:t>
                  </w:r>
                </w:p>
              </w:tc>
              <w:tc>
                <w:tcPr>
                  <w:tcW w:w="2189" w:type="dxa"/>
                  <w:shd w:val="clear" w:color="auto" w:fill="FFC000"/>
                  <w:vAlign w:val="center"/>
                </w:tcPr>
                <w:p w:rsidR="00052720" w:rsidRPr="00774BC6" w:rsidRDefault="00052720" w:rsidP="00052720">
                  <w:pPr>
                    <w:spacing w:before="120"/>
                    <w:jc w:val="center"/>
                    <w:rPr>
                      <w:sz w:val="21"/>
                      <w:szCs w:val="21"/>
                    </w:rPr>
                  </w:pPr>
                  <w:r w:rsidRPr="00774BC6">
                    <w:rPr>
                      <w:b/>
                      <w:sz w:val="21"/>
                      <w:szCs w:val="21"/>
                    </w:rPr>
                    <w:t>1,75 δις</w:t>
                  </w:r>
                  <w:r w:rsidRPr="00774BC6">
                    <w:rPr>
                      <w:sz w:val="21"/>
                      <w:szCs w:val="21"/>
                    </w:rPr>
                    <w:t xml:space="preserve"> </w:t>
                  </w:r>
                  <w:r w:rsidRPr="00774BC6">
                    <w:rPr>
                      <w:rFonts w:cstheme="minorHAnsi"/>
                      <w:sz w:val="21"/>
                      <w:szCs w:val="21"/>
                    </w:rPr>
                    <w:t>€</w:t>
                  </w:r>
                </w:p>
              </w:tc>
              <w:tc>
                <w:tcPr>
                  <w:tcW w:w="1886" w:type="dxa"/>
                  <w:shd w:val="clear" w:color="auto" w:fill="FFC000"/>
                  <w:vAlign w:val="center"/>
                </w:tcPr>
                <w:p w:rsidR="00052720" w:rsidRPr="00774BC6" w:rsidRDefault="00052720" w:rsidP="00052720">
                  <w:pPr>
                    <w:spacing w:before="120"/>
                    <w:jc w:val="center"/>
                    <w:rPr>
                      <w:sz w:val="21"/>
                      <w:szCs w:val="21"/>
                    </w:rPr>
                  </w:pPr>
                  <w:r w:rsidRPr="00774BC6">
                    <w:rPr>
                      <w:b/>
                      <w:sz w:val="21"/>
                      <w:szCs w:val="21"/>
                    </w:rPr>
                    <w:t>2,8 δις</w:t>
                  </w:r>
                  <w:r w:rsidRPr="00774BC6">
                    <w:rPr>
                      <w:sz w:val="21"/>
                      <w:szCs w:val="21"/>
                    </w:rPr>
                    <w:t xml:space="preserve"> </w:t>
                  </w:r>
                  <w:r w:rsidRPr="00774BC6">
                    <w:rPr>
                      <w:rFonts w:cstheme="minorHAnsi"/>
                      <w:sz w:val="21"/>
                      <w:szCs w:val="21"/>
                    </w:rPr>
                    <w:t>€</w:t>
                  </w:r>
                </w:p>
              </w:tc>
            </w:tr>
            <w:tr w:rsidR="0051520D" w:rsidTr="0051520D">
              <w:tc>
                <w:tcPr>
                  <w:tcW w:w="2552" w:type="dxa"/>
                  <w:shd w:val="clear" w:color="auto" w:fill="FFC000"/>
                </w:tcPr>
                <w:p w:rsidR="00052720" w:rsidRPr="00774BC6" w:rsidRDefault="00052720" w:rsidP="00774BC6">
                  <w:pPr>
                    <w:pStyle w:val="Default"/>
                    <w:jc w:val="both"/>
                    <w:rPr>
                      <w:sz w:val="21"/>
                      <w:szCs w:val="21"/>
                    </w:rPr>
                  </w:pPr>
                  <w:r w:rsidRPr="00774BC6">
                    <w:rPr>
                      <w:sz w:val="21"/>
                      <w:szCs w:val="21"/>
                    </w:rPr>
                    <w:t xml:space="preserve">Επίδραση ανά εβδομάδα στο </w:t>
                  </w:r>
                  <w:r w:rsidR="00774BC6">
                    <w:rPr>
                      <w:sz w:val="21"/>
                      <w:szCs w:val="21"/>
                    </w:rPr>
                    <w:t>ε</w:t>
                  </w:r>
                  <w:r w:rsidRPr="00774BC6">
                    <w:rPr>
                      <w:sz w:val="21"/>
                      <w:szCs w:val="21"/>
                    </w:rPr>
                    <w:t xml:space="preserve">τήσιο ΑΕΠ </w:t>
                  </w:r>
                </w:p>
              </w:tc>
              <w:tc>
                <w:tcPr>
                  <w:tcW w:w="2189" w:type="dxa"/>
                  <w:shd w:val="clear" w:color="auto" w:fill="FFC000"/>
                  <w:vAlign w:val="center"/>
                </w:tcPr>
                <w:p w:rsidR="00052720" w:rsidRPr="00774BC6" w:rsidRDefault="00052720" w:rsidP="00052720">
                  <w:pPr>
                    <w:spacing w:before="12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774BC6">
                    <w:rPr>
                      <w:b/>
                      <w:sz w:val="21"/>
                      <w:szCs w:val="21"/>
                    </w:rPr>
                    <w:t>-0,9%</w:t>
                  </w:r>
                </w:p>
              </w:tc>
              <w:tc>
                <w:tcPr>
                  <w:tcW w:w="1886" w:type="dxa"/>
                  <w:shd w:val="clear" w:color="auto" w:fill="FFC000"/>
                  <w:vAlign w:val="center"/>
                </w:tcPr>
                <w:p w:rsidR="00052720" w:rsidRPr="00774BC6" w:rsidRDefault="00052720" w:rsidP="00052720">
                  <w:pPr>
                    <w:spacing w:before="12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774BC6">
                    <w:rPr>
                      <w:b/>
                      <w:sz w:val="21"/>
                      <w:szCs w:val="21"/>
                    </w:rPr>
                    <w:t>-1,5%</w:t>
                  </w:r>
                </w:p>
              </w:tc>
            </w:tr>
            <w:tr w:rsidR="00774BC6" w:rsidTr="0051520D">
              <w:trPr>
                <w:trHeight w:val="305"/>
              </w:trPr>
              <w:tc>
                <w:tcPr>
                  <w:tcW w:w="2552" w:type="dxa"/>
                  <w:shd w:val="clear" w:color="auto" w:fill="FFC000"/>
                </w:tcPr>
                <w:p w:rsidR="00774BC6" w:rsidRDefault="00774BC6" w:rsidP="00774BC6">
                  <w:pPr>
                    <w:pStyle w:val="Default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Απώλεια ΑΕΠ από</w:t>
                  </w:r>
                </w:p>
                <w:p w:rsidR="00774BC6" w:rsidRPr="00774BC6" w:rsidRDefault="00774BC6" w:rsidP="00774BC6">
                  <w:pPr>
                    <w:pStyle w:val="Default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29/6 – 31/7</w:t>
                  </w:r>
                </w:p>
              </w:tc>
              <w:tc>
                <w:tcPr>
                  <w:tcW w:w="4075" w:type="dxa"/>
                  <w:gridSpan w:val="2"/>
                  <w:shd w:val="clear" w:color="auto" w:fill="FFC000"/>
                  <w:vAlign w:val="center"/>
                </w:tcPr>
                <w:p w:rsidR="00774BC6" w:rsidRPr="00774BC6" w:rsidRDefault="00774BC6" w:rsidP="00774BC6">
                  <w:pPr>
                    <w:spacing w:before="12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Από 8,8 – 14,0 δις </w:t>
                  </w:r>
                  <w:r w:rsidRPr="00774BC6">
                    <w:rPr>
                      <w:rFonts w:cstheme="minorHAnsi"/>
                      <w:sz w:val="21"/>
                      <w:szCs w:val="21"/>
                    </w:rPr>
                    <w:t>€</w:t>
                  </w: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6D25DD" w:rsidRPr="001A2F74" w:rsidRDefault="006D25DD" w:rsidP="006D25DD">
            <w:pPr>
              <w:spacing w:before="120"/>
              <w:jc w:val="both"/>
            </w:pPr>
          </w:p>
        </w:tc>
      </w:tr>
      <w:tr w:rsidR="0018362B" w:rsidRPr="00392EF8" w:rsidTr="008D1F05">
        <w:trPr>
          <w:trHeight w:val="1125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18362B" w:rsidRPr="00392EF8" w:rsidRDefault="0018362B" w:rsidP="00392EF8">
            <w:pPr>
              <w:rPr>
                <w:b/>
              </w:rPr>
            </w:pPr>
            <w:r>
              <w:rPr>
                <w:b/>
              </w:rPr>
              <w:t>Αγορά ακινήτων</w:t>
            </w:r>
          </w:p>
        </w:tc>
        <w:tc>
          <w:tcPr>
            <w:tcW w:w="7371" w:type="dxa"/>
            <w:shd w:val="clear" w:color="auto" w:fill="B8CCE4" w:themeFill="accent1" w:themeFillTint="66"/>
            <w:vAlign w:val="center"/>
          </w:tcPr>
          <w:p w:rsidR="0018362B" w:rsidRDefault="0018362B" w:rsidP="002D7E56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Αξιοσημείωτη θα είναι  η πτώση των τιμών των ακινήτων </w:t>
            </w:r>
            <w:r w:rsidRPr="002D7E56">
              <w:rPr>
                <w:b/>
              </w:rPr>
              <w:t>(10% -20%)</w:t>
            </w:r>
            <w:r w:rsidR="008D1F05">
              <w:t xml:space="preserve"> κατά τους προσεχείς μήνες</w:t>
            </w:r>
            <w:r>
              <w:t xml:space="preserve">, ενώ η ακύρωση συμβολαίων μεταβίβασης ακινήτων αυξάνεται με ραγδαίους ρυθμούς </w:t>
            </w:r>
            <w:r w:rsidRPr="002D7E56">
              <w:rPr>
                <w:b/>
              </w:rPr>
              <w:t xml:space="preserve">(9 στα 10 συμβόλαια). </w:t>
            </w:r>
          </w:p>
        </w:tc>
      </w:tr>
      <w:tr w:rsidR="00EC19BC" w:rsidRPr="00392EF8" w:rsidTr="008D1F05">
        <w:trPr>
          <w:trHeight w:val="87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EC19BC" w:rsidRDefault="00EC19BC" w:rsidP="00392EF8">
            <w:pPr>
              <w:rPr>
                <w:b/>
              </w:rPr>
            </w:pPr>
            <w:r>
              <w:rPr>
                <w:b/>
              </w:rPr>
              <w:t>Ανεργία</w:t>
            </w:r>
          </w:p>
        </w:tc>
        <w:tc>
          <w:tcPr>
            <w:tcW w:w="7371" w:type="dxa"/>
            <w:shd w:val="clear" w:color="auto" w:fill="B8CCE4" w:themeFill="accent1" w:themeFillTint="66"/>
            <w:vAlign w:val="center"/>
          </w:tcPr>
          <w:p w:rsidR="00EC19BC" w:rsidRDefault="00EC19BC" w:rsidP="002D7E56">
            <w:pPr>
              <w:pStyle w:val="a4"/>
              <w:numPr>
                <w:ilvl w:val="0"/>
                <w:numId w:val="1"/>
              </w:numPr>
              <w:jc w:val="both"/>
            </w:pPr>
            <w:r>
              <w:t xml:space="preserve">Οι πρώτες εκτιμήσεις </w:t>
            </w:r>
            <w:r w:rsidR="00CC448D">
              <w:t xml:space="preserve">κάνουν λόγο </w:t>
            </w:r>
            <w:r>
              <w:t xml:space="preserve">για διαμόρφωση του ετήσιου ποσοστού ανεργίας το 2015, </w:t>
            </w:r>
            <w:r w:rsidR="00CC448D">
              <w:t xml:space="preserve">στα επίπεδα του </w:t>
            </w:r>
            <w:r w:rsidR="00CC448D" w:rsidRPr="002D7E56">
              <w:rPr>
                <w:b/>
              </w:rPr>
              <w:t>30%</w:t>
            </w:r>
            <w:r w:rsidR="00CC448D">
              <w:t>, με την υπέρβαση</w:t>
            </w:r>
            <w:r w:rsidR="00EB19DF">
              <w:t xml:space="preserve"> όμως</w:t>
            </w:r>
            <w:r w:rsidR="00CC448D">
              <w:t xml:space="preserve"> του συγκεκριμένου ορίου να συγκεντρώνει σημαντικές πιθανότητες. </w:t>
            </w:r>
          </w:p>
        </w:tc>
      </w:tr>
      <w:tr w:rsidR="00EF3ACE" w:rsidRPr="00392EF8" w:rsidTr="0035298C">
        <w:trPr>
          <w:trHeight w:val="169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B618F7" w:rsidRPr="00B618F7" w:rsidRDefault="00DC0D85" w:rsidP="00392EF8">
            <w:pPr>
              <w:rPr>
                <w:b/>
              </w:rPr>
            </w:pPr>
            <w:r>
              <w:rPr>
                <w:b/>
              </w:rPr>
              <w:t xml:space="preserve">Περιορισμοί λόγω </w:t>
            </w:r>
            <w:r w:rsidR="00B618F7">
              <w:rPr>
                <w:b/>
                <w:lang w:val="en-US"/>
              </w:rPr>
              <w:t>capital</w:t>
            </w:r>
            <w:r w:rsidR="00B618F7" w:rsidRPr="00B618F7">
              <w:rPr>
                <w:b/>
              </w:rPr>
              <w:t xml:space="preserve"> </w:t>
            </w:r>
            <w:r w:rsidR="00B618F7">
              <w:rPr>
                <w:b/>
                <w:lang w:val="en-US"/>
              </w:rPr>
              <w:t>Controls</w:t>
            </w:r>
          </w:p>
          <w:p w:rsidR="00EF3ACE" w:rsidRPr="005416D8" w:rsidRDefault="00B618F7" w:rsidP="00392EF8">
            <w:pPr>
              <w:rPr>
                <w:i/>
                <w:sz w:val="20"/>
                <w:szCs w:val="20"/>
              </w:rPr>
            </w:pPr>
            <w:r w:rsidRPr="005416D8">
              <w:rPr>
                <w:i/>
                <w:sz w:val="20"/>
                <w:szCs w:val="20"/>
              </w:rPr>
              <w:t>(</w:t>
            </w:r>
            <w:r w:rsidR="00EF3ACE" w:rsidRPr="00B618F7">
              <w:rPr>
                <w:i/>
                <w:sz w:val="20"/>
                <w:szCs w:val="20"/>
              </w:rPr>
              <w:t>Επιτροπή Έγκρισης Τραπεζικών Συναλλαγών</w:t>
            </w:r>
            <w:r w:rsidRPr="005416D8">
              <w:rPr>
                <w:i/>
                <w:sz w:val="20"/>
                <w:szCs w:val="20"/>
              </w:rPr>
              <w:t>,</w:t>
            </w:r>
            <w:r w:rsidR="0051520D">
              <w:rPr>
                <w:i/>
                <w:sz w:val="20"/>
                <w:szCs w:val="20"/>
              </w:rPr>
              <w:t xml:space="preserve"> Ό</w:t>
            </w:r>
            <w:r w:rsidR="005416D8">
              <w:rPr>
                <w:i/>
                <w:sz w:val="20"/>
                <w:szCs w:val="20"/>
              </w:rPr>
              <w:t>ρια πληρωμών κ.α.</w:t>
            </w:r>
          </w:p>
        </w:tc>
        <w:tc>
          <w:tcPr>
            <w:tcW w:w="7371" w:type="dxa"/>
            <w:shd w:val="clear" w:color="auto" w:fill="B8CCE4" w:themeFill="accent1" w:themeFillTint="66"/>
            <w:vAlign w:val="center"/>
          </w:tcPr>
          <w:p w:rsidR="00EF3ACE" w:rsidRDefault="00EF3ACE" w:rsidP="00DC0D85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 w:rsidRPr="00EF3ACE">
              <w:t xml:space="preserve">Από τις 29 Ιουνίου, ημερομηνία που έκλεισαν οι τράπεζες και επεβλήθησαν οι κεφαλαιακοί έλεγχοι, </w:t>
            </w:r>
            <w:r>
              <w:t>έ</w:t>
            </w:r>
            <w:r w:rsidRPr="00EF3ACE">
              <w:t xml:space="preserve">ως τις 24 Ιουλίου είχαν εγκριθεί από την αρμόδια Επιτροπή Έγκρισης Τραπεζικών Συναλλαγών εμβάσματα για εισαγωγές αξίας </w:t>
            </w:r>
            <w:r w:rsidRPr="000E61DF">
              <w:rPr>
                <w:b/>
                <w:bCs/>
              </w:rPr>
              <w:t xml:space="preserve">1,5 δις  ευρώ. </w:t>
            </w:r>
            <w:r w:rsidRPr="00EF3ACE">
              <w:t xml:space="preserve">Σε μηνιαία βάση, πριν από την εισαγωγή των capital controls το αντίστοιχο ποσό για εισαγωγές κατά μέσο όρο ήταν περίπου </w:t>
            </w:r>
            <w:r w:rsidRPr="000E61DF">
              <w:rPr>
                <w:b/>
              </w:rPr>
              <w:t>3,5 δις</w:t>
            </w:r>
            <w:r w:rsidRPr="00EF3ACE">
              <w:t xml:space="preserve"> ευρώ</w:t>
            </w:r>
            <w:r>
              <w:t>.</w:t>
            </w:r>
          </w:p>
          <w:p w:rsidR="005416D8" w:rsidRDefault="005416D8" w:rsidP="00DC0D85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>Τ</w:t>
            </w:r>
            <w:r w:rsidRPr="005416D8">
              <w:t xml:space="preserve">α </w:t>
            </w:r>
            <w:r>
              <w:t xml:space="preserve">εγκριθέντα </w:t>
            </w:r>
            <w:r w:rsidRPr="005416D8">
              <w:t xml:space="preserve">κεφάλαια </w:t>
            </w:r>
            <w:r>
              <w:t>ύψους</w:t>
            </w:r>
            <w:r w:rsidRPr="005416D8">
              <w:t xml:space="preserve"> </w:t>
            </w:r>
            <w:r w:rsidRPr="005416D8">
              <w:rPr>
                <w:b/>
              </w:rPr>
              <w:t>1,5 δις</w:t>
            </w:r>
            <w:r w:rsidRPr="005416D8">
              <w:t xml:space="preserve"> ευρώ </w:t>
            </w:r>
            <w:r>
              <w:t>αφορούσαν καύσιμα και φάρμακα, με τις ανάγκες όμως της πραγματικής οικονομίας να μένουν ανικανοποίητες</w:t>
            </w:r>
            <w:r w:rsidRPr="005416D8">
              <w:t xml:space="preserve">. </w:t>
            </w:r>
            <w:r>
              <w:t>Τα παραπάνω ποσά δ</w:t>
            </w:r>
            <w:r w:rsidRPr="005416D8">
              <w:t>εν κατευθύνθηκαν για αγορά πρώτων υλών ή για</w:t>
            </w:r>
            <w:r>
              <w:t xml:space="preserve"> προμήθεια</w:t>
            </w:r>
            <w:r w:rsidRPr="005416D8">
              <w:t xml:space="preserve"> τεχνολογικ</w:t>
            </w:r>
            <w:r>
              <w:t>ού εξοπλισμού</w:t>
            </w:r>
            <w:r w:rsidRPr="005416D8">
              <w:t xml:space="preserve">, </w:t>
            </w:r>
            <w:r>
              <w:t>με συνέπεια την καταγραφή</w:t>
            </w:r>
            <w:r w:rsidRPr="005416D8">
              <w:t xml:space="preserve"> δυσλειτουργ</w:t>
            </w:r>
            <w:r>
              <w:t>ιών</w:t>
            </w:r>
            <w:r w:rsidRPr="005416D8">
              <w:t xml:space="preserve"> στην παραγωγική διαδικασία. </w:t>
            </w:r>
          </w:p>
          <w:p w:rsidR="000E61DF" w:rsidRDefault="00DC0D85" w:rsidP="00D6138B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>Τ</w:t>
            </w:r>
            <w:r w:rsidRPr="00DC0D85">
              <w:t>α όρια πληρωμών για ει</w:t>
            </w:r>
            <w:r>
              <w:t xml:space="preserve">σαγωγές, όσον αφορά στις </w:t>
            </w:r>
            <w:r w:rsidRPr="00DC0D85">
              <w:t xml:space="preserve">τέσσερις συστημικές τράπεζες μαζί με την Τράπεζα </w:t>
            </w:r>
            <w:r w:rsidRPr="00DC0D85">
              <w:rPr>
                <w:bCs/>
              </w:rPr>
              <w:t>Αττικής</w:t>
            </w:r>
            <w:r w:rsidRPr="00DC0D85">
              <w:t xml:space="preserve"> σε ημερήσια βάση είναι</w:t>
            </w:r>
            <w:r w:rsidRPr="00DC0D85">
              <w:rPr>
                <w:b/>
                <w:bCs/>
              </w:rPr>
              <w:t xml:space="preserve"> 22 </w:t>
            </w:r>
            <w:r>
              <w:rPr>
                <w:b/>
                <w:bCs/>
              </w:rPr>
              <w:t>εκ.</w:t>
            </w:r>
            <w:r w:rsidRPr="00DC0D85">
              <w:rPr>
                <w:b/>
                <w:bCs/>
              </w:rPr>
              <w:t xml:space="preserve"> ευρώ,</w:t>
            </w:r>
            <w:r w:rsidRPr="00DC0D85">
              <w:t xml:space="preserve"> όταν προ capital controls ήταν περίπου </w:t>
            </w:r>
            <w:r w:rsidRPr="00DC0D85">
              <w:rPr>
                <w:b/>
                <w:bCs/>
              </w:rPr>
              <w:t xml:space="preserve">120 </w:t>
            </w:r>
            <w:r>
              <w:rPr>
                <w:b/>
                <w:bCs/>
              </w:rPr>
              <w:t>εκ.</w:t>
            </w:r>
            <w:r w:rsidRPr="00DC0D85">
              <w:rPr>
                <w:b/>
                <w:bCs/>
              </w:rPr>
              <w:t xml:space="preserve"> ευρώ.</w:t>
            </w:r>
            <w:r w:rsidRPr="00DC0D85">
              <w:t xml:space="preserve"> Αρκεί να σημειωθεί ότι το 2014 μόνο για εισαγωγές καυσίμων δαπανήθηκαν</w:t>
            </w:r>
            <w:r w:rsidRPr="00DC0D85">
              <w:rPr>
                <w:b/>
                <w:bCs/>
              </w:rPr>
              <w:t xml:space="preserve"> 15 δις ευρώ</w:t>
            </w:r>
            <w:r w:rsidRPr="00DC0D85">
              <w:t>.</w:t>
            </w:r>
          </w:p>
          <w:p w:rsidR="0035298C" w:rsidRDefault="0035298C" w:rsidP="0035298C">
            <w:pPr>
              <w:spacing w:before="120"/>
              <w:jc w:val="both"/>
            </w:pPr>
          </w:p>
          <w:p w:rsidR="0035298C" w:rsidRPr="0034652B" w:rsidRDefault="0035298C" w:rsidP="0035298C">
            <w:pPr>
              <w:spacing w:before="120"/>
              <w:jc w:val="both"/>
            </w:pPr>
          </w:p>
          <w:p w:rsidR="0034652B" w:rsidRPr="00340C5C" w:rsidRDefault="0034652B" w:rsidP="00D6138B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  <w:rPr>
                <w:rFonts w:cstheme="minorHAnsi"/>
              </w:rPr>
            </w:pPr>
            <w:r w:rsidRPr="00340C5C">
              <w:lastRenderedPageBreak/>
              <w:t>Με την πρόσφατη τροποποίηση της τελευταίας Πράξης Νομοθετικού Περιεχομένου</w:t>
            </w:r>
            <w:r w:rsidR="008F7A35" w:rsidRPr="00340C5C">
              <w:t xml:space="preserve"> και με σημείο αναφοράς τις </w:t>
            </w:r>
            <w:r w:rsidR="008F7A35" w:rsidRPr="00340C5C">
              <w:rPr>
                <w:b/>
              </w:rPr>
              <w:t>συναλλαγές των επιχειρήσεων με το εξωτερικό</w:t>
            </w:r>
            <w:r w:rsidR="008F7A35" w:rsidRPr="00340C5C">
              <w:t xml:space="preserve">, </w:t>
            </w:r>
            <w:r w:rsidR="008F7A35" w:rsidRPr="00340C5C">
              <w:rPr>
                <w:rFonts w:cstheme="minorHAnsi"/>
              </w:rPr>
              <w:t xml:space="preserve">το ημερήσιο όριο ανά πελάτη αυξήθηκε από </w:t>
            </w:r>
            <w:r w:rsidR="008F7A35" w:rsidRPr="00340C5C">
              <w:rPr>
                <w:rFonts w:cstheme="minorHAnsi"/>
                <w:b/>
              </w:rPr>
              <w:t>100.000</w:t>
            </w:r>
            <w:r w:rsidR="008F7A35" w:rsidRPr="00340C5C">
              <w:rPr>
                <w:rFonts w:cstheme="minorHAnsi"/>
              </w:rPr>
              <w:t xml:space="preserve"> ευρώ σε </w:t>
            </w:r>
            <w:r w:rsidR="008F7A35" w:rsidRPr="00340C5C">
              <w:rPr>
                <w:rFonts w:cstheme="minorHAnsi"/>
                <w:b/>
              </w:rPr>
              <w:t>150.000</w:t>
            </w:r>
            <w:r w:rsidR="008F7A35" w:rsidRPr="00340C5C">
              <w:rPr>
                <w:rFonts w:cstheme="minorHAnsi"/>
              </w:rPr>
              <w:t xml:space="preserve"> ευρώ. Παράλληλα, το σωρευτικό όριο ανά πιστωτικό ίδρυμα ανήλθε στα </w:t>
            </w:r>
            <w:r w:rsidR="008F7A35" w:rsidRPr="00340C5C">
              <w:rPr>
                <w:rFonts w:cstheme="minorHAnsi"/>
                <w:b/>
              </w:rPr>
              <w:t>5 εκ.</w:t>
            </w:r>
            <w:r w:rsidR="008F7A35" w:rsidRPr="00340C5C">
              <w:rPr>
                <w:rFonts w:cstheme="minorHAnsi"/>
              </w:rPr>
              <w:t xml:space="preserve"> ευρώ ανά ημέρα για τις συστημικές τράπεζες από </w:t>
            </w:r>
            <w:r w:rsidR="008F7A35" w:rsidRPr="00340C5C">
              <w:rPr>
                <w:rFonts w:cstheme="minorHAnsi"/>
                <w:b/>
              </w:rPr>
              <w:t>3,4 εκ.</w:t>
            </w:r>
            <w:r w:rsidR="008F7A35" w:rsidRPr="00340C5C">
              <w:rPr>
                <w:rFonts w:cstheme="minorHAnsi"/>
              </w:rPr>
              <w:t xml:space="preserve"> ευρώ που ίσχυε μέχρι πρότινος</w:t>
            </w:r>
            <w:r w:rsidR="00340C5C">
              <w:rPr>
                <w:rFonts w:cstheme="minorHAnsi"/>
                <w:sz w:val="24"/>
                <w:szCs w:val="24"/>
              </w:rPr>
              <w:t>.</w:t>
            </w:r>
            <w:r w:rsidR="008F7A35" w:rsidRPr="00D61340">
              <w:rPr>
                <w:rFonts w:cstheme="minorHAnsi"/>
                <w:sz w:val="24"/>
                <w:szCs w:val="24"/>
              </w:rPr>
              <w:t xml:space="preserve"> </w:t>
            </w:r>
            <w:r w:rsidR="00340C5C" w:rsidRPr="00340C5C">
              <w:rPr>
                <w:rFonts w:cstheme="minorHAnsi"/>
              </w:rPr>
              <w:t xml:space="preserve">Παρόλα αυτά, οι παραπάνω βελτιωτικές ρυθμίσεις δεν επαρκούν για να επαναφέρουν την οικονομία στο σημείο </w:t>
            </w:r>
            <w:r w:rsidR="00340C5C">
              <w:rPr>
                <w:rFonts w:cstheme="minorHAnsi"/>
              </w:rPr>
              <w:t>που ήταν πριν την επιβολή κεφαλαιακών ελέγχων.</w:t>
            </w:r>
          </w:p>
          <w:p w:rsidR="0034652B" w:rsidRDefault="0034652B" w:rsidP="0034652B">
            <w:pPr>
              <w:pStyle w:val="a4"/>
              <w:spacing w:before="120"/>
              <w:ind w:left="402"/>
              <w:contextualSpacing w:val="0"/>
              <w:jc w:val="both"/>
            </w:pPr>
          </w:p>
        </w:tc>
      </w:tr>
    </w:tbl>
    <w:p w:rsidR="00392EF8" w:rsidRPr="0084639F" w:rsidRDefault="00392EF8"/>
    <w:p w:rsidR="0084639F" w:rsidRPr="00024A4B" w:rsidRDefault="0084639F"/>
    <w:tbl>
      <w:tblPr>
        <w:tblStyle w:val="a3"/>
        <w:tblW w:w="9782" w:type="dxa"/>
        <w:tblInd w:w="-743" w:type="dxa"/>
        <w:tblLook w:val="04A0"/>
      </w:tblPr>
      <w:tblGrid>
        <w:gridCol w:w="2411"/>
        <w:gridCol w:w="7371"/>
      </w:tblGrid>
      <w:tr w:rsidR="0050535A" w:rsidRPr="001A2F74" w:rsidTr="0021060C">
        <w:trPr>
          <w:trHeight w:val="813"/>
        </w:trPr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7E5EDE" w:rsidRDefault="0050535A" w:rsidP="0050535A">
            <w:pPr>
              <w:jc w:val="center"/>
              <w:rPr>
                <w:b/>
              </w:rPr>
            </w:pPr>
            <w:r w:rsidRPr="001A2F74">
              <w:rPr>
                <w:b/>
                <w:sz w:val="26"/>
                <w:szCs w:val="26"/>
              </w:rPr>
              <w:t xml:space="preserve">Πίνακας </w:t>
            </w:r>
            <w:r w:rsidR="00952916">
              <w:rPr>
                <w:b/>
                <w:sz w:val="26"/>
                <w:szCs w:val="26"/>
              </w:rPr>
              <w:t>2</w:t>
            </w:r>
            <w:r w:rsidRPr="001A2F74">
              <w:rPr>
                <w:b/>
                <w:sz w:val="26"/>
                <w:szCs w:val="26"/>
              </w:rPr>
              <w:t>:</w:t>
            </w:r>
            <w:r>
              <w:t xml:space="preserve"> </w:t>
            </w:r>
            <w:r>
              <w:rPr>
                <w:b/>
              </w:rPr>
              <w:t xml:space="preserve">Εξέλιξη τζίρου σε Λιανεμπόριο μετά την επιβολή των </w:t>
            </w:r>
            <w:r>
              <w:rPr>
                <w:b/>
                <w:lang w:val="en-US"/>
              </w:rPr>
              <w:t>Capital</w:t>
            </w:r>
            <w:r w:rsidRPr="0050535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Controls</w:t>
            </w:r>
            <w:r w:rsidR="007E5EDE">
              <w:rPr>
                <w:b/>
              </w:rPr>
              <w:t xml:space="preserve"> </w:t>
            </w:r>
          </w:p>
          <w:p w:rsidR="0050535A" w:rsidRPr="007E5EDE" w:rsidRDefault="0050535A" w:rsidP="0050535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0535A" w:rsidRPr="00392EF8" w:rsidTr="007E5EDE">
        <w:trPr>
          <w:trHeight w:val="1958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35A" w:rsidRPr="0050535A" w:rsidRDefault="0050535A" w:rsidP="00952916">
            <w:pPr>
              <w:rPr>
                <w:b/>
              </w:rPr>
            </w:pPr>
            <w:r>
              <w:rPr>
                <w:b/>
              </w:rPr>
              <w:t>Τζίρος</w:t>
            </w:r>
            <w:r w:rsidRPr="0050535A">
              <w:rPr>
                <w:b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1060C" w:rsidRPr="0021060C" w:rsidRDefault="0021060C" w:rsidP="00952916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 xml:space="preserve">Η </w:t>
            </w:r>
            <w:proofErr w:type="spellStart"/>
            <w:r>
              <w:t>μεσοσταθμική</w:t>
            </w:r>
            <w:proofErr w:type="spellEnd"/>
            <w:r>
              <w:t xml:space="preserve"> μείωση του τζίρου εκτιμάται στο </w:t>
            </w:r>
            <w:r w:rsidRPr="0021060C">
              <w:rPr>
                <w:b/>
              </w:rPr>
              <w:t>30%</w:t>
            </w:r>
            <w:r>
              <w:t>, καθώς η</w:t>
            </w:r>
            <w:r w:rsidR="00952916">
              <w:t xml:space="preserve"> πτώση </w:t>
            </w:r>
            <w:r>
              <w:t>των πωλήσεων</w:t>
            </w:r>
            <w:r w:rsidR="00952916">
              <w:t xml:space="preserve"> την πρώτη εβδομάδα της επιβολής των κεφαλαιακών ελέγχων  ανήλθε στο </w:t>
            </w:r>
            <w:r w:rsidR="00952916" w:rsidRPr="00F34CDE">
              <w:rPr>
                <w:b/>
              </w:rPr>
              <w:t>40%</w:t>
            </w:r>
            <w:r w:rsidR="00952916">
              <w:t xml:space="preserve">, τη δεύτερη στο </w:t>
            </w:r>
            <w:r w:rsidR="00952916" w:rsidRPr="00F34CDE">
              <w:rPr>
                <w:b/>
              </w:rPr>
              <w:t>30%</w:t>
            </w:r>
            <w:r w:rsidR="00952916">
              <w:t xml:space="preserve"> και την τρίτη στο </w:t>
            </w:r>
            <w:r w:rsidR="00952916" w:rsidRPr="00F34CDE">
              <w:rPr>
                <w:b/>
              </w:rPr>
              <w:t>20%.</w:t>
            </w:r>
          </w:p>
          <w:p w:rsidR="00275939" w:rsidRDefault="00952916" w:rsidP="0021060C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 xml:space="preserve"> Παρόλα αυτά, το τελευταίο χρονικό διάστημα και εξαιτίας της επαναλειτουργίας των πιστωτικών ιδρυμάτων</w:t>
            </w:r>
            <w:r w:rsidR="0021060C">
              <w:t xml:space="preserve"> και της μερικής ομαλοποίησης των συνθηκών</w:t>
            </w:r>
            <w:r>
              <w:t xml:space="preserve">, η συρρίκνωση του κύκλου εργασιών των επιχειρήσεων κυμαίνεται στα επίπεδα του </w:t>
            </w:r>
            <w:r w:rsidRPr="0021060C">
              <w:rPr>
                <w:b/>
              </w:rPr>
              <w:t>10% - 20%.</w:t>
            </w:r>
            <w:r>
              <w:t xml:space="preserve"> </w:t>
            </w:r>
          </w:p>
          <w:p w:rsidR="0021060C" w:rsidRPr="00392EF8" w:rsidRDefault="0021060C" w:rsidP="0021060C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>
              <w:t xml:space="preserve">Η πτώση του κύκλου εργασιών κινήθηκε σε πολύ χαμηλότερα επίπεδα στη νησιωτική Ελλάδα, λόγω της </w:t>
            </w:r>
            <w:r w:rsidR="001877F1">
              <w:t xml:space="preserve">αυξημένης </w:t>
            </w:r>
            <w:r>
              <w:t>τουριστικής κίνησης.</w:t>
            </w:r>
          </w:p>
        </w:tc>
      </w:tr>
      <w:tr w:rsidR="0050535A" w:rsidRPr="00392EF8" w:rsidTr="007E5EDE">
        <w:trPr>
          <w:trHeight w:val="1262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35A" w:rsidRPr="009A7BED" w:rsidRDefault="00275939" w:rsidP="0021060C">
            <w:r>
              <w:rPr>
                <w:b/>
              </w:rPr>
              <w:t>Αιτίες της πτώσης του τζίρου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0535A" w:rsidRDefault="0050535A" w:rsidP="00275939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</w:pPr>
            <w:r w:rsidRPr="009A7BED">
              <w:t xml:space="preserve">Η </w:t>
            </w:r>
            <w:r w:rsidR="00275939" w:rsidRPr="00275939">
              <w:t xml:space="preserve">ραγδαία </w:t>
            </w:r>
            <w:r w:rsidR="00275939">
              <w:t>πτώση</w:t>
            </w:r>
            <w:r w:rsidR="00275939" w:rsidRPr="00275939">
              <w:t xml:space="preserve"> του εσωτερικού τουρισμού</w:t>
            </w:r>
            <w:r>
              <w:t>.</w:t>
            </w:r>
          </w:p>
          <w:p w:rsidR="00275939" w:rsidRPr="00392EF8" w:rsidRDefault="007E5EDE" w:rsidP="007E5EDE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</w:pPr>
            <w:r>
              <w:t xml:space="preserve">Ανασφάλεια </w:t>
            </w:r>
            <w:r w:rsidRPr="007E5EDE">
              <w:t xml:space="preserve"> των ξένων τουριστών </w:t>
            </w:r>
            <w:r>
              <w:t>πως σε περίπτωση</w:t>
            </w:r>
            <w:r w:rsidRPr="007E5EDE">
              <w:t xml:space="preserve"> </w:t>
            </w:r>
            <w:r>
              <w:t xml:space="preserve">προβλημάτων </w:t>
            </w:r>
            <w:r w:rsidRPr="007E5EDE">
              <w:t xml:space="preserve"> στα ΑΤΜ </w:t>
            </w:r>
            <w:r>
              <w:t xml:space="preserve">, </w:t>
            </w:r>
            <w:r w:rsidRPr="007E5EDE">
              <w:t xml:space="preserve">δεν θα έχουν πρόσβαση στους λογαριασμούς </w:t>
            </w:r>
            <w:r>
              <w:t>τους.</w:t>
            </w:r>
          </w:p>
        </w:tc>
      </w:tr>
      <w:tr w:rsidR="0050535A" w:rsidRPr="00392EF8" w:rsidTr="00275939">
        <w:trPr>
          <w:trHeight w:val="1558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50535A" w:rsidRPr="002D7E56" w:rsidRDefault="0050535A" w:rsidP="0021060C">
            <w:pPr>
              <w:rPr>
                <w:b/>
              </w:rPr>
            </w:pPr>
            <w:r>
              <w:rPr>
                <w:b/>
              </w:rPr>
              <w:t xml:space="preserve">Αδυναμία αντιμετώπισης των επιπτώσεων από την τραπεζική αργία και τα </w:t>
            </w:r>
            <w:r>
              <w:rPr>
                <w:b/>
                <w:lang w:val="en-US"/>
              </w:rPr>
              <w:t>Capital</w:t>
            </w:r>
            <w:r w:rsidRPr="002D7E5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Controls</w:t>
            </w:r>
          </w:p>
        </w:tc>
        <w:tc>
          <w:tcPr>
            <w:tcW w:w="7371" w:type="dxa"/>
            <w:shd w:val="clear" w:color="auto" w:fill="B8CCE4" w:themeFill="accent1" w:themeFillTint="66"/>
            <w:vAlign w:val="center"/>
          </w:tcPr>
          <w:p w:rsidR="0050535A" w:rsidRDefault="00275939" w:rsidP="001877F1">
            <w:pPr>
              <w:pStyle w:val="a4"/>
              <w:numPr>
                <w:ilvl w:val="0"/>
                <w:numId w:val="1"/>
              </w:numPr>
              <w:spacing w:before="120"/>
              <w:ind w:left="402" w:hanging="357"/>
              <w:contextualSpacing w:val="0"/>
              <w:jc w:val="both"/>
            </w:pPr>
            <w:r w:rsidRPr="00275939">
              <w:t>Περίπου το</w:t>
            </w:r>
            <w:r>
              <w:rPr>
                <w:b/>
              </w:rPr>
              <w:t xml:space="preserve"> 50% </w:t>
            </w:r>
            <w:r w:rsidRPr="00275939">
              <w:t>των επιχειρήσεων</w:t>
            </w:r>
            <w:r w:rsidR="0050535A">
              <w:t xml:space="preserve"> δε</w:t>
            </w:r>
            <w:r w:rsidR="0050535A" w:rsidRPr="002D7E56">
              <w:t xml:space="preserve"> διαθέτ</w:t>
            </w:r>
            <w:r>
              <w:t>ει</w:t>
            </w:r>
            <w:r w:rsidR="0050535A" w:rsidRPr="002D7E56">
              <w:t xml:space="preserve"> συσκευές EFT/POS, προκειμένου να πραγματοποιούν συναλλαγές με πιστωτικές, χρεωστικές και προπληρωμένες κάρτες</w:t>
            </w:r>
            <w:r w:rsidR="0050535A">
              <w:t>.</w:t>
            </w:r>
            <w:r w:rsidR="0021060C">
              <w:t xml:space="preserve"> Εντούτοις, οι δυσμενείς συνθήκες στις οποίες έπρεπε να προσαρμοστεί ο επιχειρηματικός κόσμος, είχε σαν αποτέλεσμα την έκδοση </w:t>
            </w:r>
            <w:r w:rsidR="0021060C" w:rsidRPr="001877F1">
              <w:rPr>
                <w:b/>
              </w:rPr>
              <w:t>1 εκ.</w:t>
            </w:r>
            <w:r w:rsidR="0021060C">
              <w:t xml:space="preserve"> νέων καρτών </w:t>
            </w:r>
            <w:r w:rsidR="001877F1">
              <w:t xml:space="preserve">(χρεωστικών, πιστωτικών) </w:t>
            </w:r>
            <w:r w:rsidR="0021060C">
              <w:t xml:space="preserve">και την </w:t>
            </w:r>
            <w:r w:rsidR="001877F1">
              <w:t>αφομοίωση νέων μεθόδων αποδοχής πληρωμών από την πλευρά των επιτηδευματιών.</w:t>
            </w:r>
          </w:p>
        </w:tc>
      </w:tr>
    </w:tbl>
    <w:p w:rsidR="008D1F05" w:rsidRDefault="008D1F05"/>
    <w:sectPr w:rsidR="008D1F05" w:rsidSect="005033DF">
      <w:footerReference w:type="default" r:id="rId8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85" w:rsidRDefault="00103085" w:rsidP="005033DF">
      <w:pPr>
        <w:spacing w:after="0" w:line="240" w:lineRule="auto"/>
      </w:pPr>
      <w:r>
        <w:separator/>
      </w:r>
    </w:p>
  </w:endnote>
  <w:endnote w:type="continuationSeparator" w:id="0">
    <w:p w:rsidR="00103085" w:rsidRDefault="00103085" w:rsidP="0050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7928"/>
      <w:docPartObj>
        <w:docPartGallery w:val="Page Numbers (Bottom of Page)"/>
        <w:docPartUnique/>
      </w:docPartObj>
    </w:sdtPr>
    <w:sdtContent>
      <w:p w:rsidR="0021060C" w:rsidRDefault="00523737">
        <w:pPr>
          <w:pStyle w:val="a6"/>
          <w:jc w:val="right"/>
        </w:pPr>
        <w:fldSimple w:instr=" PAGE   \* MERGEFORMAT ">
          <w:r w:rsidR="00235E60">
            <w:rPr>
              <w:noProof/>
            </w:rPr>
            <w:t>2</w:t>
          </w:r>
        </w:fldSimple>
      </w:p>
    </w:sdtContent>
  </w:sdt>
  <w:p w:rsidR="0021060C" w:rsidRDefault="002106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85" w:rsidRDefault="00103085" w:rsidP="005033DF">
      <w:pPr>
        <w:spacing w:after="0" w:line="240" w:lineRule="auto"/>
      </w:pPr>
      <w:r>
        <w:separator/>
      </w:r>
    </w:p>
  </w:footnote>
  <w:footnote w:type="continuationSeparator" w:id="0">
    <w:p w:rsidR="00103085" w:rsidRDefault="00103085" w:rsidP="0050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3C2"/>
    <w:multiLevelType w:val="hybridMultilevel"/>
    <w:tmpl w:val="6F5ED742"/>
    <w:lvl w:ilvl="0" w:tplc="54DCFC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F8"/>
    <w:rsid w:val="00024A4B"/>
    <w:rsid w:val="00052720"/>
    <w:rsid w:val="000E61DF"/>
    <w:rsid w:val="00103085"/>
    <w:rsid w:val="00157E19"/>
    <w:rsid w:val="0018362B"/>
    <w:rsid w:val="001877F1"/>
    <w:rsid w:val="001A2F74"/>
    <w:rsid w:val="001F23AE"/>
    <w:rsid w:val="0021060C"/>
    <w:rsid w:val="00235E60"/>
    <w:rsid w:val="00266342"/>
    <w:rsid w:val="00275939"/>
    <w:rsid w:val="00287C08"/>
    <w:rsid w:val="002D7E56"/>
    <w:rsid w:val="00340C5C"/>
    <w:rsid w:val="0034652B"/>
    <w:rsid w:val="0035298C"/>
    <w:rsid w:val="00392EF8"/>
    <w:rsid w:val="003C70B2"/>
    <w:rsid w:val="003F7D2A"/>
    <w:rsid w:val="00417BB9"/>
    <w:rsid w:val="00420E11"/>
    <w:rsid w:val="00464DB4"/>
    <w:rsid w:val="004E57F6"/>
    <w:rsid w:val="005033DF"/>
    <w:rsid w:val="0050535A"/>
    <w:rsid w:val="0051520D"/>
    <w:rsid w:val="00523737"/>
    <w:rsid w:val="005416D8"/>
    <w:rsid w:val="00564A28"/>
    <w:rsid w:val="005F247C"/>
    <w:rsid w:val="00650415"/>
    <w:rsid w:val="006D25DD"/>
    <w:rsid w:val="007320AA"/>
    <w:rsid w:val="0075673A"/>
    <w:rsid w:val="00774BC6"/>
    <w:rsid w:val="007E305A"/>
    <w:rsid w:val="007E5EDE"/>
    <w:rsid w:val="007E66F0"/>
    <w:rsid w:val="007F0B74"/>
    <w:rsid w:val="0084639F"/>
    <w:rsid w:val="00866936"/>
    <w:rsid w:val="0088768E"/>
    <w:rsid w:val="008C32EA"/>
    <w:rsid w:val="008D1F05"/>
    <w:rsid w:val="008F7A35"/>
    <w:rsid w:val="00952916"/>
    <w:rsid w:val="009A7BED"/>
    <w:rsid w:val="009B07E0"/>
    <w:rsid w:val="009B2283"/>
    <w:rsid w:val="00A11FA4"/>
    <w:rsid w:val="00A812F3"/>
    <w:rsid w:val="00B04741"/>
    <w:rsid w:val="00B618F7"/>
    <w:rsid w:val="00B92B5E"/>
    <w:rsid w:val="00C50ACB"/>
    <w:rsid w:val="00C97B9E"/>
    <w:rsid w:val="00CC448D"/>
    <w:rsid w:val="00D25384"/>
    <w:rsid w:val="00D6138B"/>
    <w:rsid w:val="00D64C43"/>
    <w:rsid w:val="00DC0D85"/>
    <w:rsid w:val="00E00701"/>
    <w:rsid w:val="00E81164"/>
    <w:rsid w:val="00EB19DF"/>
    <w:rsid w:val="00EC19BC"/>
    <w:rsid w:val="00ED6FD8"/>
    <w:rsid w:val="00EF3ACE"/>
    <w:rsid w:val="00F34CDE"/>
    <w:rsid w:val="00F4581E"/>
    <w:rsid w:val="00F7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4639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B228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7E305A"/>
    <w:pPr>
      <w:ind w:left="720"/>
      <w:contextualSpacing/>
    </w:pPr>
  </w:style>
  <w:style w:type="paragraph" w:customStyle="1" w:styleId="Default">
    <w:name w:val="Default"/>
    <w:rsid w:val="00052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03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5033DF"/>
  </w:style>
  <w:style w:type="paragraph" w:styleId="a6">
    <w:name w:val="footer"/>
    <w:basedOn w:val="a"/>
    <w:link w:val="Char0"/>
    <w:uiPriority w:val="99"/>
    <w:unhideWhenUsed/>
    <w:rsid w:val="00503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033DF"/>
  </w:style>
  <w:style w:type="paragraph" w:styleId="a7">
    <w:name w:val="Balloon Text"/>
    <w:basedOn w:val="a"/>
    <w:link w:val="Char1"/>
    <w:uiPriority w:val="99"/>
    <w:semiHidden/>
    <w:unhideWhenUsed/>
    <w:rsid w:val="00F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34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1288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nikgeo</dc:creator>
  <cp:lastModifiedBy>atheodorou</cp:lastModifiedBy>
  <cp:revision>21</cp:revision>
  <dcterms:created xsi:type="dcterms:W3CDTF">2015-08-03T13:07:00Z</dcterms:created>
  <dcterms:modified xsi:type="dcterms:W3CDTF">2015-08-05T11:48:00Z</dcterms:modified>
</cp:coreProperties>
</file>