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A7" w:rsidRPr="004032DB" w:rsidRDefault="005574A7" w:rsidP="00123AC2">
      <w:pPr>
        <w:pStyle w:val="Heading2"/>
        <w:ind w:right="-1" w:firstLine="720"/>
        <w:rPr>
          <w:sz w:val="36"/>
          <w:szCs w:val="36"/>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SEAeteriki-gr" style="position:absolute;left:0;text-align:left;margin-left:365.7pt;margin-top:-18pt;width:60.3pt;height:94.25pt;z-index:251658240;visibility:visible">
            <v:imagedata r:id="rId7" o:title=""/>
          </v:shape>
        </w:pict>
      </w:r>
      <w:r w:rsidRPr="004032DB">
        <w:rPr>
          <w:sz w:val="36"/>
          <w:szCs w:val="36"/>
        </w:rPr>
        <w:t xml:space="preserve">ΣΥΝΔΕΣΜΟΣ ΕΙΣΑΓΩΓΕΩΝ </w:t>
      </w:r>
    </w:p>
    <w:p w:rsidR="005574A7" w:rsidRPr="004032DB" w:rsidRDefault="005574A7" w:rsidP="00B37A4D">
      <w:pPr>
        <w:pStyle w:val="Heading2"/>
        <w:ind w:right="-1"/>
        <w:rPr>
          <w:sz w:val="36"/>
          <w:szCs w:val="36"/>
        </w:rPr>
      </w:pPr>
      <w:r w:rsidRPr="004032DB">
        <w:rPr>
          <w:sz w:val="36"/>
          <w:szCs w:val="36"/>
        </w:rPr>
        <w:t>ΑΝΤΙΠΡΟΣΩΠΩΝ ΑΥΤΟΚΙΝΗΤΩΝ</w:t>
      </w:r>
    </w:p>
    <w:p w:rsidR="005574A7" w:rsidRPr="005074E6" w:rsidRDefault="005574A7" w:rsidP="00B37A4D">
      <w:pPr>
        <w:pStyle w:val="Heading2"/>
        <w:ind w:right="-1"/>
        <w:rPr>
          <w:sz w:val="24"/>
          <w:szCs w:val="24"/>
        </w:rPr>
      </w:pPr>
    </w:p>
    <w:p w:rsidR="005574A7" w:rsidRPr="005074E6" w:rsidRDefault="005574A7" w:rsidP="00B37A4D">
      <w:pPr>
        <w:pStyle w:val="Footer"/>
        <w:tabs>
          <w:tab w:val="clear" w:pos="4153"/>
          <w:tab w:val="clear" w:pos="8306"/>
        </w:tabs>
        <w:ind w:right="-1"/>
        <w:rPr>
          <w:lang w:val="el-GR"/>
        </w:rPr>
      </w:pPr>
    </w:p>
    <w:p w:rsidR="005574A7" w:rsidRPr="005074E6" w:rsidRDefault="005574A7" w:rsidP="00B37A4D">
      <w:pPr>
        <w:ind w:right="-1"/>
      </w:pPr>
    </w:p>
    <w:tbl>
      <w:tblPr>
        <w:tblW w:w="848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8483"/>
      </w:tblGrid>
      <w:tr w:rsidR="005574A7" w:rsidRPr="005074E6">
        <w:trPr>
          <w:trHeight w:val="692"/>
          <w:jc w:val="center"/>
        </w:trPr>
        <w:tc>
          <w:tcPr>
            <w:tcW w:w="8483" w:type="dxa"/>
            <w:shd w:val="clear" w:color="auto" w:fill="E0E0E0"/>
            <w:vAlign w:val="center"/>
          </w:tcPr>
          <w:p w:rsidR="005574A7" w:rsidRPr="005074E6" w:rsidRDefault="005574A7" w:rsidP="00B37A4D">
            <w:pPr>
              <w:pStyle w:val="Subtitle"/>
              <w:ind w:right="-1"/>
              <w:rPr>
                <w:sz w:val="40"/>
                <w:szCs w:val="40"/>
                <w:lang w:val="el-GR"/>
              </w:rPr>
            </w:pPr>
            <w:r w:rsidRPr="005074E6">
              <w:rPr>
                <w:sz w:val="40"/>
                <w:szCs w:val="40"/>
                <w:lang w:val="el-GR"/>
              </w:rPr>
              <w:t>ΔΕΛΤΙΟ ΤΥΠΟΥ</w:t>
            </w:r>
          </w:p>
        </w:tc>
      </w:tr>
    </w:tbl>
    <w:p w:rsidR="005574A7" w:rsidRPr="005A152F" w:rsidRDefault="005574A7" w:rsidP="00B37A4D">
      <w:pPr>
        <w:ind w:right="-1"/>
        <w:jc w:val="right"/>
        <w:rPr>
          <w:sz w:val="12"/>
          <w:szCs w:val="12"/>
        </w:rPr>
      </w:pPr>
    </w:p>
    <w:p w:rsidR="005574A7" w:rsidRPr="00402E75" w:rsidRDefault="005574A7" w:rsidP="00B37A4D">
      <w:pPr>
        <w:ind w:right="-1"/>
        <w:jc w:val="right"/>
        <w:rPr>
          <w:sz w:val="12"/>
          <w:szCs w:val="12"/>
        </w:rPr>
      </w:pPr>
    </w:p>
    <w:p w:rsidR="005574A7" w:rsidRPr="00017E79" w:rsidRDefault="005574A7" w:rsidP="00B37A4D">
      <w:pPr>
        <w:ind w:right="-1"/>
        <w:jc w:val="right"/>
      </w:pPr>
      <w:r w:rsidRPr="00017E79">
        <w:t xml:space="preserve">Αθήνα, </w:t>
      </w:r>
      <w:r>
        <w:t>9</w:t>
      </w:r>
      <w:r w:rsidRPr="004B447F">
        <w:rPr>
          <w:vertAlign w:val="superscript"/>
        </w:rPr>
        <w:t>η</w:t>
      </w:r>
      <w:r>
        <w:t>Οκτωβρίου2015</w:t>
      </w:r>
    </w:p>
    <w:p w:rsidR="005574A7" w:rsidRDefault="005574A7" w:rsidP="004B447F">
      <w:pPr>
        <w:jc w:val="center"/>
        <w:rPr>
          <w:b/>
          <w:bCs/>
          <w:spacing w:val="-8"/>
          <w:kern w:val="16"/>
          <w:sz w:val="26"/>
          <w:szCs w:val="26"/>
        </w:rPr>
      </w:pPr>
      <w:bookmarkStart w:id="0" w:name="OLE_LINK1"/>
      <w:bookmarkStart w:id="1" w:name="OLE_LINK2"/>
    </w:p>
    <w:p w:rsidR="005574A7" w:rsidRDefault="005574A7" w:rsidP="004B447F">
      <w:pPr>
        <w:jc w:val="center"/>
        <w:rPr>
          <w:b/>
          <w:bCs/>
          <w:spacing w:val="-8"/>
          <w:kern w:val="16"/>
          <w:sz w:val="26"/>
          <w:szCs w:val="26"/>
        </w:rPr>
      </w:pPr>
      <w:r>
        <w:rPr>
          <w:b/>
          <w:bCs/>
          <w:spacing w:val="-8"/>
          <w:kern w:val="16"/>
          <w:sz w:val="26"/>
          <w:szCs w:val="26"/>
        </w:rPr>
        <w:t>Θέμα: Ταξινομήσεις καινούργιων οχημάτων κατά το Σεπτέμβριο 2015.</w:t>
      </w:r>
    </w:p>
    <w:p w:rsidR="005574A7" w:rsidRPr="00B8558C" w:rsidRDefault="005574A7" w:rsidP="004B447F">
      <w:pPr>
        <w:jc w:val="center"/>
        <w:rPr>
          <w:b/>
          <w:bCs/>
          <w:spacing w:val="-8"/>
          <w:kern w:val="16"/>
          <w:sz w:val="26"/>
          <w:szCs w:val="26"/>
        </w:rPr>
      </w:pPr>
    </w:p>
    <w:bookmarkEnd w:id="0"/>
    <w:bookmarkEnd w:id="1"/>
    <w:p w:rsidR="005574A7" w:rsidRPr="00DC60ED" w:rsidRDefault="005574A7" w:rsidP="00264168">
      <w:pPr>
        <w:jc w:val="both"/>
      </w:pPr>
      <w:r w:rsidRPr="008A44F8">
        <w:t xml:space="preserve">Με βάση </w:t>
      </w:r>
      <w:r>
        <w:t xml:space="preserve">τα </w:t>
      </w:r>
      <w:r w:rsidRPr="008A44F8">
        <w:t xml:space="preserve">πρωτογενή στοιχεία της ΕΛΣΤΑΤ και </w:t>
      </w:r>
      <w:r>
        <w:t xml:space="preserve">την </w:t>
      </w:r>
      <w:r w:rsidRPr="008A44F8">
        <w:t xml:space="preserve">επεξεργασία του ΣΕΑΑ, οι ταξινομήσεις </w:t>
      </w:r>
      <w:r w:rsidRPr="008A44F8">
        <w:rPr>
          <w:u w:val="single"/>
        </w:rPr>
        <w:t>καινούργιων επιβατικών</w:t>
      </w:r>
      <w:r w:rsidRPr="008A44F8">
        <w:t xml:space="preserve"> το μήνα </w:t>
      </w:r>
      <w:r>
        <w:rPr>
          <w:b/>
          <w:bCs/>
        </w:rPr>
        <w:t xml:space="preserve">Σεπτέμβριο </w:t>
      </w:r>
      <w:r w:rsidRPr="008A44F8">
        <w:rPr>
          <w:b/>
          <w:bCs/>
        </w:rPr>
        <w:t>2015</w:t>
      </w:r>
      <w:r w:rsidRPr="008A44F8">
        <w:t xml:space="preserve"> υπήρξαν </w:t>
      </w:r>
      <w:r>
        <w:t xml:space="preserve">ελαφρώς αυξημένες </w:t>
      </w:r>
      <w:r w:rsidRPr="00DC60ED">
        <w:t xml:space="preserve">κατά </w:t>
      </w:r>
      <w:r w:rsidRPr="00DC60ED">
        <w:rPr>
          <w:b/>
          <w:bCs/>
        </w:rPr>
        <w:t>+1,4%</w:t>
      </w:r>
      <w:r w:rsidRPr="00DC60ED">
        <w:t xml:space="preserve"> ως προς το μήνα Σεπτέμβριο 2014.</w:t>
      </w:r>
    </w:p>
    <w:p w:rsidR="005574A7" w:rsidRPr="00DC60ED" w:rsidRDefault="005574A7" w:rsidP="00264168">
      <w:pPr>
        <w:jc w:val="both"/>
      </w:pPr>
    </w:p>
    <w:p w:rsidR="005574A7" w:rsidRPr="00DC60ED" w:rsidRDefault="005574A7" w:rsidP="00264168">
      <w:pPr>
        <w:jc w:val="both"/>
      </w:pPr>
      <w:r w:rsidRPr="00DC60ED">
        <w:t>Συνολικά, στο εννεάμηνο</w:t>
      </w:r>
      <w:r w:rsidRPr="00DC60ED">
        <w:rPr>
          <w:b/>
          <w:bCs/>
        </w:rPr>
        <w:t>Ιανουαρίου-Σεπτεμβρίου 2015</w:t>
      </w:r>
      <w:r w:rsidRPr="00DC60ED">
        <w:t xml:space="preserve"> οι ταξινομήσεις </w:t>
      </w:r>
      <w:r w:rsidRPr="00DC60ED">
        <w:rPr>
          <w:u w:val="single"/>
        </w:rPr>
        <w:t>καινούργιων επιβατικών</w:t>
      </w:r>
      <w:r w:rsidRPr="00DC60ED">
        <w:t xml:space="preserve"> είναι αυξημένες κατά </w:t>
      </w:r>
      <w:r w:rsidRPr="00DC60ED">
        <w:rPr>
          <w:b/>
          <w:bCs/>
        </w:rPr>
        <w:t>+8,1%</w:t>
      </w:r>
      <w:r w:rsidRPr="00DC60ED">
        <w:t xml:space="preserve"> ως προς το αντίστοιχο διάστημα του 2014.</w:t>
      </w:r>
    </w:p>
    <w:p w:rsidR="005574A7" w:rsidRPr="00DC60ED" w:rsidRDefault="005574A7" w:rsidP="00264168">
      <w:pPr>
        <w:jc w:val="both"/>
      </w:pPr>
    </w:p>
    <w:p w:rsidR="005574A7" w:rsidRPr="00DC60ED" w:rsidRDefault="005574A7" w:rsidP="00264168">
      <w:pPr>
        <w:jc w:val="both"/>
      </w:pPr>
      <w:r w:rsidRPr="00DC60ED">
        <w:t>Η πρόοδος στις ταξινομήσεις καινούργιων επιβατικών από τις αρχές του έτουςαιτιάζεται στις αυξημένες πωλήσεις αυτοκινήτων προς επιχειρήσεις ενοικίασης, ενώ ακόμη και με αυτήν την πρόοδο η αγορά αυτοκινήτου βρίσκεται</w:t>
      </w:r>
      <w:r w:rsidRPr="00DC60ED">
        <w:rPr>
          <w:b/>
          <w:bCs/>
        </w:rPr>
        <w:t>-73,4%</w:t>
      </w:r>
      <w:r w:rsidRPr="00DC60ED">
        <w:rPr>
          <w:u w:val="single"/>
        </w:rPr>
        <w:t>χαμηλότερα</w:t>
      </w:r>
      <w:r w:rsidRPr="00DC60ED">
        <w:t>ως προς το μέσο όρο της δεκαετίας 2000-2009.</w:t>
      </w:r>
    </w:p>
    <w:p w:rsidR="005574A7" w:rsidRPr="00DC60ED" w:rsidRDefault="005574A7" w:rsidP="00264168">
      <w:pPr>
        <w:jc w:val="both"/>
      </w:pPr>
    </w:p>
    <w:p w:rsidR="005574A7" w:rsidRPr="00DC60ED" w:rsidRDefault="005574A7" w:rsidP="00264168">
      <w:pPr>
        <w:jc w:val="both"/>
      </w:pPr>
      <w:r w:rsidRPr="00DC60ED">
        <w:t xml:space="preserve">Στα </w:t>
      </w:r>
      <w:r w:rsidRPr="00DC60ED">
        <w:rPr>
          <w:u w:val="single"/>
        </w:rPr>
        <w:t>καινούργια φορτηγά</w:t>
      </w:r>
      <w:r w:rsidRPr="00DC60ED">
        <w:t xml:space="preserve"> παρατηρείται αύξηση από τις αρχές του έτους (</w:t>
      </w:r>
      <w:r w:rsidRPr="00DC60ED">
        <w:rPr>
          <w:b/>
          <w:bCs/>
        </w:rPr>
        <w:t>+22,1%</w:t>
      </w:r>
      <w:r w:rsidRPr="00DC60ED">
        <w:t>), ως προς την ίδια περίοδο πέρυσι, εξαιτίας, μεταξύ άλλων, και εκτελέσεων διαγωνισμών.</w:t>
      </w:r>
    </w:p>
    <w:p w:rsidR="005574A7" w:rsidRPr="00DC60ED" w:rsidRDefault="005574A7" w:rsidP="00264168">
      <w:pPr>
        <w:jc w:val="both"/>
      </w:pPr>
    </w:p>
    <w:p w:rsidR="005574A7" w:rsidRPr="00DC60ED" w:rsidRDefault="005574A7" w:rsidP="00264168">
      <w:pPr>
        <w:jc w:val="both"/>
      </w:pPr>
      <w:r w:rsidRPr="00DC60ED">
        <w:t xml:space="preserve">Τέλος, στα </w:t>
      </w:r>
      <w:r w:rsidRPr="00DC60ED">
        <w:rPr>
          <w:u w:val="single"/>
        </w:rPr>
        <w:t>καινούργια δίκυκλα</w:t>
      </w:r>
      <w:r w:rsidRPr="00DC60ED">
        <w:t xml:space="preserve"> (πλέον των 50 </w:t>
      </w:r>
      <w:r w:rsidRPr="00DC60ED">
        <w:rPr>
          <w:lang w:val="en-US"/>
        </w:rPr>
        <w:t>cc</w:t>
      </w:r>
      <w:r w:rsidRPr="00DC60ED">
        <w:t>) οι ταξινομήσεις από τις αρχές του</w:t>
      </w:r>
      <w:r w:rsidRPr="00C62B3C">
        <w:t xml:space="preserve"> έτους </w:t>
      </w:r>
      <w:r>
        <w:t xml:space="preserve">παρέμειναν σχεδόν αμετάβλητες, </w:t>
      </w:r>
      <w:r w:rsidRPr="00C62B3C">
        <w:t xml:space="preserve">ως προς το </w:t>
      </w:r>
      <w:r w:rsidRPr="00DC60ED">
        <w:t>αντίστοιχο διάστημα του2014.</w:t>
      </w:r>
    </w:p>
    <w:p w:rsidR="005574A7" w:rsidRPr="00DC60ED" w:rsidRDefault="005574A7" w:rsidP="004B447F">
      <w:pPr>
        <w:jc w:val="both"/>
      </w:pPr>
    </w:p>
    <w:tbl>
      <w:tblPr>
        <w:tblW w:w="9071" w:type="dxa"/>
        <w:tblInd w:w="-106" w:type="dxa"/>
        <w:tblLook w:val="00A0"/>
      </w:tblPr>
      <w:tblGrid>
        <w:gridCol w:w="4120"/>
        <w:gridCol w:w="1880"/>
        <w:gridCol w:w="1880"/>
        <w:gridCol w:w="1191"/>
      </w:tblGrid>
      <w:tr w:rsidR="005574A7" w:rsidRPr="00DC60ED">
        <w:trPr>
          <w:trHeight w:val="327"/>
        </w:trPr>
        <w:tc>
          <w:tcPr>
            <w:tcW w:w="4120" w:type="dxa"/>
            <w:tcBorders>
              <w:top w:val="nil"/>
              <w:left w:val="nil"/>
              <w:bottom w:val="nil"/>
              <w:right w:val="nil"/>
            </w:tcBorders>
            <w:noWrap/>
            <w:vAlign w:val="center"/>
          </w:tcPr>
          <w:p w:rsidR="005574A7" w:rsidRPr="00DC60ED" w:rsidRDefault="005574A7" w:rsidP="00760277">
            <w:pPr>
              <w:jc w:val="center"/>
              <w:rPr>
                <w:rFonts w:ascii="Calibri" w:hAnsi="Calibri" w:cs="Calibri"/>
                <w:color w:val="000000"/>
                <w:sz w:val="22"/>
                <w:szCs w:val="22"/>
              </w:rPr>
            </w:pPr>
            <w:bookmarkStart w:id="2" w:name="RANGE_C4_F14"/>
            <w:bookmarkEnd w:id="2"/>
          </w:p>
        </w:tc>
        <w:tc>
          <w:tcPr>
            <w:tcW w:w="1880" w:type="dxa"/>
            <w:tcBorders>
              <w:top w:val="single" w:sz="4" w:space="0" w:color="auto"/>
              <w:left w:val="single" w:sz="4" w:space="0" w:color="auto"/>
              <w:bottom w:val="single" w:sz="4" w:space="0" w:color="auto"/>
              <w:right w:val="single" w:sz="4" w:space="0" w:color="auto"/>
            </w:tcBorders>
            <w:noWrap/>
            <w:vAlign w:val="center"/>
          </w:tcPr>
          <w:p w:rsidR="005574A7" w:rsidRPr="00DC60ED" w:rsidRDefault="005574A7" w:rsidP="00547758">
            <w:pPr>
              <w:jc w:val="center"/>
              <w:rPr>
                <w:rFonts w:ascii="Calibri" w:hAnsi="Calibri" w:cs="Calibri"/>
                <w:b/>
                <w:bCs/>
                <w:color w:val="000000"/>
                <w:sz w:val="22"/>
                <w:szCs w:val="22"/>
              </w:rPr>
            </w:pPr>
            <w:r w:rsidRPr="00DC60ED">
              <w:rPr>
                <w:rFonts w:ascii="Calibri" w:hAnsi="Calibri" w:cs="Calibri"/>
                <w:b/>
                <w:bCs/>
                <w:color w:val="000000"/>
                <w:sz w:val="22"/>
                <w:szCs w:val="22"/>
              </w:rPr>
              <w:t>Σεπτέμβριος 2015</w:t>
            </w:r>
          </w:p>
        </w:tc>
        <w:tc>
          <w:tcPr>
            <w:tcW w:w="1880" w:type="dxa"/>
            <w:tcBorders>
              <w:top w:val="single" w:sz="4" w:space="0" w:color="auto"/>
              <w:left w:val="nil"/>
              <w:bottom w:val="single" w:sz="4" w:space="0" w:color="auto"/>
              <w:right w:val="single" w:sz="4" w:space="0" w:color="auto"/>
            </w:tcBorders>
            <w:noWrap/>
            <w:vAlign w:val="center"/>
          </w:tcPr>
          <w:p w:rsidR="005574A7" w:rsidRPr="00DC60ED" w:rsidRDefault="005574A7" w:rsidP="00547758">
            <w:pPr>
              <w:jc w:val="center"/>
              <w:rPr>
                <w:rFonts w:ascii="Calibri" w:hAnsi="Calibri" w:cs="Calibri"/>
                <w:b/>
                <w:bCs/>
                <w:color w:val="000000"/>
                <w:sz w:val="22"/>
                <w:szCs w:val="22"/>
              </w:rPr>
            </w:pPr>
            <w:r w:rsidRPr="00DC60ED">
              <w:rPr>
                <w:rFonts w:ascii="Calibri" w:hAnsi="Calibri" w:cs="Calibri"/>
                <w:b/>
                <w:bCs/>
                <w:color w:val="000000"/>
                <w:sz w:val="22"/>
                <w:szCs w:val="22"/>
              </w:rPr>
              <w:t>Σεπτέμβριος 2014</w:t>
            </w:r>
          </w:p>
        </w:tc>
        <w:tc>
          <w:tcPr>
            <w:tcW w:w="1191" w:type="dxa"/>
            <w:tcBorders>
              <w:top w:val="single" w:sz="4" w:space="0" w:color="auto"/>
              <w:left w:val="nil"/>
              <w:bottom w:val="single" w:sz="4" w:space="0" w:color="auto"/>
              <w:right w:val="single" w:sz="4" w:space="0" w:color="auto"/>
            </w:tcBorders>
            <w:noWrap/>
            <w:vAlign w:val="center"/>
          </w:tcPr>
          <w:p w:rsidR="005574A7" w:rsidRPr="00DC60ED" w:rsidRDefault="005574A7" w:rsidP="00760277">
            <w:pPr>
              <w:jc w:val="center"/>
              <w:rPr>
                <w:rFonts w:ascii="Calibri" w:hAnsi="Calibri" w:cs="Calibri"/>
                <w:b/>
                <w:bCs/>
                <w:color w:val="000000"/>
                <w:sz w:val="22"/>
                <w:szCs w:val="22"/>
              </w:rPr>
            </w:pPr>
            <w:r w:rsidRPr="00DC60ED">
              <w:rPr>
                <w:rFonts w:ascii="Calibri" w:hAnsi="Calibri" w:cs="Calibri"/>
                <w:b/>
                <w:bCs/>
                <w:color w:val="000000"/>
                <w:sz w:val="22"/>
                <w:szCs w:val="22"/>
              </w:rPr>
              <w:t>Μεταβολή</w:t>
            </w:r>
          </w:p>
        </w:tc>
      </w:tr>
      <w:tr w:rsidR="005574A7" w:rsidRPr="00DC60ED">
        <w:trPr>
          <w:trHeight w:val="327"/>
        </w:trPr>
        <w:tc>
          <w:tcPr>
            <w:tcW w:w="4120" w:type="dxa"/>
            <w:tcBorders>
              <w:top w:val="single" w:sz="4" w:space="0" w:color="auto"/>
              <w:left w:val="single" w:sz="4" w:space="0" w:color="auto"/>
              <w:bottom w:val="single" w:sz="4" w:space="0" w:color="auto"/>
              <w:right w:val="single" w:sz="4" w:space="0" w:color="auto"/>
            </w:tcBorders>
            <w:noWrap/>
            <w:vAlign w:val="center"/>
          </w:tcPr>
          <w:p w:rsidR="005574A7" w:rsidRPr="00DC60ED" w:rsidRDefault="005574A7" w:rsidP="007D45C7">
            <w:pPr>
              <w:rPr>
                <w:rFonts w:ascii="Calibri" w:hAnsi="Calibri" w:cs="Calibri"/>
                <w:b/>
                <w:bCs/>
                <w:color w:val="000000"/>
                <w:sz w:val="22"/>
                <w:szCs w:val="22"/>
              </w:rPr>
            </w:pPr>
            <w:r w:rsidRPr="00DC60ED">
              <w:rPr>
                <w:rFonts w:ascii="Calibri" w:hAnsi="Calibri" w:cs="Calibri"/>
                <w:b/>
                <w:bCs/>
                <w:color w:val="000000"/>
                <w:sz w:val="22"/>
                <w:szCs w:val="22"/>
              </w:rPr>
              <w:t>Καινούργια επιβατικά</w:t>
            </w:r>
          </w:p>
        </w:tc>
        <w:tc>
          <w:tcPr>
            <w:tcW w:w="1880" w:type="dxa"/>
            <w:tcBorders>
              <w:top w:val="nil"/>
              <w:left w:val="nil"/>
              <w:bottom w:val="single" w:sz="4" w:space="0" w:color="auto"/>
              <w:right w:val="single" w:sz="4" w:space="0" w:color="auto"/>
            </w:tcBorders>
            <w:noWrap/>
            <w:vAlign w:val="center"/>
          </w:tcPr>
          <w:p w:rsidR="005574A7" w:rsidRPr="00DC60ED" w:rsidRDefault="005574A7" w:rsidP="000357C1">
            <w:pPr>
              <w:jc w:val="right"/>
              <w:rPr>
                <w:rFonts w:ascii="Calibri" w:hAnsi="Calibri" w:cs="Calibri"/>
                <w:color w:val="000000"/>
                <w:sz w:val="22"/>
                <w:szCs w:val="22"/>
                <w:lang w:val="en-US"/>
              </w:rPr>
            </w:pPr>
            <w:r w:rsidRPr="00DC60ED">
              <w:rPr>
                <w:rFonts w:ascii="Calibri" w:hAnsi="Calibri" w:cs="Calibri"/>
                <w:color w:val="000000"/>
                <w:sz w:val="22"/>
                <w:szCs w:val="22"/>
                <w:lang w:val="en-US"/>
              </w:rPr>
              <w:t>5</w:t>
            </w:r>
            <w:r>
              <w:rPr>
                <w:rFonts w:ascii="Calibri" w:hAnsi="Calibri" w:cs="Calibri"/>
                <w:color w:val="000000"/>
                <w:sz w:val="22"/>
                <w:szCs w:val="22"/>
                <w:lang w:val="en-US"/>
              </w:rPr>
              <w:t>.</w:t>
            </w:r>
            <w:r w:rsidRPr="00DC60ED">
              <w:rPr>
                <w:rFonts w:ascii="Calibri" w:hAnsi="Calibri" w:cs="Calibri"/>
                <w:color w:val="000000"/>
                <w:sz w:val="22"/>
                <w:szCs w:val="22"/>
                <w:lang w:val="en-US"/>
              </w:rPr>
              <w:t>125</w:t>
            </w:r>
          </w:p>
        </w:tc>
        <w:tc>
          <w:tcPr>
            <w:tcW w:w="1880" w:type="dxa"/>
            <w:tcBorders>
              <w:top w:val="nil"/>
              <w:left w:val="nil"/>
              <w:bottom w:val="single" w:sz="4" w:space="0" w:color="auto"/>
              <w:right w:val="single" w:sz="4" w:space="0" w:color="auto"/>
            </w:tcBorders>
            <w:noWrap/>
            <w:vAlign w:val="center"/>
          </w:tcPr>
          <w:p w:rsidR="005574A7" w:rsidRPr="00DC60ED" w:rsidRDefault="005574A7" w:rsidP="00603110">
            <w:pPr>
              <w:jc w:val="right"/>
              <w:rPr>
                <w:rFonts w:ascii="Calibri" w:hAnsi="Calibri" w:cs="Calibri"/>
                <w:color w:val="000000"/>
                <w:sz w:val="22"/>
                <w:szCs w:val="22"/>
              </w:rPr>
            </w:pPr>
            <w:r w:rsidRPr="00DC60ED">
              <w:rPr>
                <w:rFonts w:ascii="Calibri" w:hAnsi="Calibri" w:cs="Calibri"/>
                <w:color w:val="000000"/>
                <w:sz w:val="22"/>
                <w:szCs w:val="22"/>
              </w:rPr>
              <w:t>5.055</w:t>
            </w:r>
          </w:p>
        </w:tc>
        <w:tc>
          <w:tcPr>
            <w:tcW w:w="1191" w:type="dxa"/>
            <w:tcBorders>
              <w:top w:val="nil"/>
              <w:left w:val="nil"/>
              <w:bottom w:val="single" w:sz="4" w:space="0" w:color="auto"/>
              <w:right w:val="single" w:sz="4" w:space="0" w:color="auto"/>
            </w:tcBorders>
            <w:noWrap/>
            <w:vAlign w:val="bottom"/>
          </w:tcPr>
          <w:p w:rsidR="005574A7" w:rsidRPr="00DC60ED" w:rsidRDefault="005574A7" w:rsidP="00E81835">
            <w:pPr>
              <w:jc w:val="right"/>
              <w:rPr>
                <w:rFonts w:ascii="Calibri" w:hAnsi="Calibri" w:cs="Calibri"/>
                <w:color w:val="000000"/>
                <w:sz w:val="22"/>
                <w:szCs w:val="22"/>
              </w:rPr>
            </w:pPr>
            <w:r w:rsidRPr="00DC60ED">
              <w:rPr>
                <w:rFonts w:ascii="Calibri" w:hAnsi="Calibri" w:cs="Calibri"/>
                <w:color w:val="000000"/>
                <w:sz w:val="22"/>
                <w:szCs w:val="22"/>
                <w:lang w:val="en-US"/>
              </w:rPr>
              <w:t>1</w:t>
            </w:r>
            <w:r w:rsidRPr="00DC60ED">
              <w:rPr>
                <w:rFonts w:ascii="Calibri" w:hAnsi="Calibri" w:cs="Calibri"/>
                <w:color w:val="000000"/>
                <w:sz w:val="22"/>
                <w:szCs w:val="22"/>
              </w:rPr>
              <w:t>,</w:t>
            </w:r>
            <w:r w:rsidRPr="00DC60ED">
              <w:rPr>
                <w:rFonts w:ascii="Calibri" w:hAnsi="Calibri" w:cs="Calibri"/>
                <w:color w:val="000000"/>
                <w:sz w:val="22"/>
                <w:szCs w:val="22"/>
                <w:lang w:val="en-US"/>
              </w:rPr>
              <w:t>4</w:t>
            </w:r>
            <w:r w:rsidRPr="00DC60ED">
              <w:rPr>
                <w:rFonts w:ascii="Calibri" w:hAnsi="Calibri" w:cs="Calibri"/>
                <w:color w:val="000000"/>
                <w:sz w:val="22"/>
                <w:szCs w:val="22"/>
              </w:rPr>
              <w:t>%</w:t>
            </w:r>
          </w:p>
        </w:tc>
      </w:tr>
      <w:tr w:rsidR="005574A7" w:rsidRPr="00DC60ED">
        <w:trPr>
          <w:trHeight w:val="327"/>
        </w:trPr>
        <w:tc>
          <w:tcPr>
            <w:tcW w:w="4120" w:type="dxa"/>
            <w:tcBorders>
              <w:top w:val="nil"/>
              <w:left w:val="single" w:sz="4" w:space="0" w:color="auto"/>
              <w:bottom w:val="single" w:sz="4" w:space="0" w:color="auto"/>
              <w:right w:val="single" w:sz="4" w:space="0" w:color="auto"/>
            </w:tcBorders>
            <w:noWrap/>
            <w:vAlign w:val="center"/>
          </w:tcPr>
          <w:p w:rsidR="005574A7" w:rsidRPr="00DC60ED" w:rsidRDefault="005574A7" w:rsidP="007D45C7">
            <w:pPr>
              <w:rPr>
                <w:rFonts w:ascii="Calibri" w:hAnsi="Calibri" w:cs="Calibri"/>
                <w:b/>
                <w:bCs/>
                <w:color w:val="000000"/>
                <w:sz w:val="22"/>
                <w:szCs w:val="22"/>
              </w:rPr>
            </w:pPr>
            <w:r w:rsidRPr="00DC60ED">
              <w:rPr>
                <w:rFonts w:ascii="Calibri" w:hAnsi="Calibri" w:cs="Calibri"/>
                <w:b/>
                <w:bCs/>
                <w:color w:val="000000"/>
                <w:sz w:val="22"/>
                <w:szCs w:val="22"/>
              </w:rPr>
              <w:t>Καινούργια φορτηγά (ελαφρά και βαρέα)</w:t>
            </w:r>
          </w:p>
        </w:tc>
        <w:tc>
          <w:tcPr>
            <w:tcW w:w="1880" w:type="dxa"/>
            <w:tcBorders>
              <w:top w:val="nil"/>
              <w:left w:val="nil"/>
              <w:bottom w:val="single" w:sz="4" w:space="0" w:color="auto"/>
              <w:right w:val="single" w:sz="4" w:space="0" w:color="auto"/>
            </w:tcBorders>
            <w:noWrap/>
            <w:vAlign w:val="center"/>
          </w:tcPr>
          <w:p w:rsidR="005574A7" w:rsidRPr="00DC60ED" w:rsidRDefault="005574A7" w:rsidP="000357C1">
            <w:pPr>
              <w:jc w:val="right"/>
              <w:rPr>
                <w:rFonts w:ascii="Calibri" w:hAnsi="Calibri" w:cs="Calibri"/>
                <w:color w:val="000000"/>
                <w:sz w:val="22"/>
                <w:szCs w:val="22"/>
                <w:lang w:val="en-US"/>
              </w:rPr>
            </w:pPr>
            <w:r w:rsidRPr="00DC60ED">
              <w:rPr>
                <w:rFonts w:ascii="Calibri" w:hAnsi="Calibri" w:cs="Calibri"/>
                <w:color w:val="000000"/>
                <w:sz w:val="22"/>
                <w:szCs w:val="22"/>
                <w:lang w:val="en-US"/>
              </w:rPr>
              <w:t>423</w:t>
            </w:r>
          </w:p>
        </w:tc>
        <w:tc>
          <w:tcPr>
            <w:tcW w:w="1880" w:type="dxa"/>
            <w:tcBorders>
              <w:top w:val="nil"/>
              <w:left w:val="nil"/>
              <w:bottom w:val="single" w:sz="4" w:space="0" w:color="auto"/>
              <w:right w:val="single" w:sz="4" w:space="0" w:color="auto"/>
            </w:tcBorders>
            <w:noWrap/>
            <w:vAlign w:val="center"/>
          </w:tcPr>
          <w:p w:rsidR="005574A7" w:rsidRPr="00DC60ED" w:rsidRDefault="005574A7" w:rsidP="00C92E39">
            <w:pPr>
              <w:jc w:val="right"/>
              <w:rPr>
                <w:rFonts w:ascii="Calibri" w:hAnsi="Calibri" w:cs="Calibri"/>
                <w:color w:val="000000"/>
                <w:sz w:val="22"/>
                <w:szCs w:val="22"/>
              </w:rPr>
            </w:pPr>
            <w:r w:rsidRPr="00DC60ED">
              <w:rPr>
                <w:rFonts w:ascii="Calibri" w:hAnsi="Calibri" w:cs="Calibri"/>
                <w:color w:val="000000"/>
                <w:sz w:val="22"/>
                <w:szCs w:val="22"/>
              </w:rPr>
              <w:t>333</w:t>
            </w:r>
          </w:p>
        </w:tc>
        <w:tc>
          <w:tcPr>
            <w:tcW w:w="1191" w:type="dxa"/>
            <w:tcBorders>
              <w:top w:val="nil"/>
              <w:left w:val="nil"/>
              <w:bottom w:val="single" w:sz="4" w:space="0" w:color="auto"/>
              <w:right w:val="single" w:sz="4" w:space="0" w:color="auto"/>
            </w:tcBorders>
            <w:noWrap/>
            <w:vAlign w:val="bottom"/>
          </w:tcPr>
          <w:p w:rsidR="005574A7" w:rsidRPr="00DC60ED" w:rsidRDefault="005574A7" w:rsidP="00E81835">
            <w:pPr>
              <w:jc w:val="right"/>
              <w:rPr>
                <w:rFonts w:ascii="Calibri" w:hAnsi="Calibri" w:cs="Calibri"/>
                <w:color w:val="000000"/>
                <w:sz w:val="22"/>
                <w:szCs w:val="22"/>
              </w:rPr>
            </w:pPr>
            <w:r w:rsidRPr="00DC60ED">
              <w:rPr>
                <w:rFonts w:ascii="Calibri" w:hAnsi="Calibri" w:cs="Calibri"/>
                <w:color w:val="000000"/>
                <w:sz w:val="22"/>
                <w:szCs w:val="22"/>
                <w:lang w:val="en-US"/>
              </w:rPr>
              <w:t>27</w:t>
            </w:r>
            <w:r w:rsidRPr="00DC60ED">
              <w:rPr>
                <w:rFonts w:ascii="Calibri" w:hAnsi="Calibri" w:cs="Calibri"/>
                <w:color w:val="000000"/>
                <w:sz w:val="22"/>
                <w:szCs w:val="22"/>
              </w:rPr>
              <w:t>,</w:t>
            </w:r>
            <w:r w:rsidRPr="00DC60ED">
              <w:rPr>
                <w:rFonts w:ascii="Calibri" w:hAnsi="Calibri" w:cs="Calibri"/>
                <w:color w:val="000000"/>
                <w:sz w:val="22"/>
                <w:szCs w:val="22"/>
                <w:lang w:val="en-US"/>
              </w:rPr>
              <w:t>0</w:t>
            </w:r>
            <w:r w:rsidRPr="00DC60ED">
              <w:rPr>
                <w:rFonts w:ascii="Calibri" w:hAnsi="Calibri" w:cs="Calibri"/>
                <w:color w:val="000000"/>
                <w:sz w:val="22"/>
                <w:szCs w:val="22"/>
              </w:rPr>
              <w:t>%</w:t>
            </w:r>
          </w:p>
        </w:tc>
      </w:tr>
      <w:tr w:rsidR="005574A7" w:rsidRPr="00DC60ED">
        <w:trPr>
          <w:trHeight w:val="327"/>
        </w:trPr>
        <w:tc>
          <w:tcPr>
            <w:tcW w:w="4120" w:type="dxa"/>
            <w:tcBorders>
              <w:top w:val="nil"/>
              <w:left w:val="single" w:sz="4" w:space="0" w:color="auto"/>
              <w:bottom w:val="single" w:sz="4" w:space="0" w:color="auto"/>
              <w:right w:val="single" w:sz="4" w:space="0" w:color="auto"/>
            </w:tcBorders>
            <w:noWrap/>
            <w:vAlign w:val="center"/>
          </w:tcPr>
          <w:p w:rsidR="005574A7" w:rsidRPr="00DC60ED" w:rsidRDefault="005574A7" w:rsidP="007D45C7">
            <w:pPr>
              <w:rPr>
                <w:rFonts w:ascii="Calibri" w:hAnsi="Calibri" w:cs="Calibri"/>
                <w:b/>
                <w:bCs/>
                <w:color w:val="000000"/>
                <w:sz w:val="22"/>
                <w:szCs w:val="22"/>
              </w:rPr>
            </w:pPr>
            <w:r w:rsidRPr="00DC60ED">
              <w:rPr>
                <w:rFonts w:ascii="Calibri" w:hAnsi="Calibri" w:cs="Calibri"/>
                <w:b/>
                <w:bCs/>
                <w:color w:val="000000"/>
                <w:sz w:val="22"/>
                <w:szCs w:val="22"/>
              </w:rPr>
              <w:t>Καινούργια λεωφορεία</w:t>
            </w:r>
          </w:p>
        </w:tc>
        <w:tc>
          <w:tcPr>
            <w:tcW w:w="1880" w:type="dxa"/>
            <w:tcBorders>
              <w:top w:val="nil"/>
              <w:left w:val="nil"/>
              <w:bottom w:val="single" w:sz="4" w:space="0" w:color="auto"/>
              <w:right w:val="single" w:sz="4" w:space="0" w:color="auto"/>
            </w:tcBorders>
            <w:noWrap/>
            <w:vAlign w:val="center"/>
          </w:tcPr>
          <w:p w:rsidR="005574A7" w:rsidRPr="00DC60ED" w:rsidRDefault="005574A7" w:rsidP="007D45C7">
            <w:pPr>
              <w:jc w:val="right"/>
              <w:rPr>
                <w:rFonts w:ascii="Calibri" w:hAnsi="Calibri" w:cs="Calibri"/>
                <w:color w:val="000000"/>
                <w:sz w:val="22"/>
                <w:szCs w:val="22"/>
                <w:lang w:val="en-US"/>
              </w:rPr>
            </w:pPr>
            <w:r w:rsidRPr="00DC60ED">
              <w:rPr>
                <w:rFonts w:ascii="Calibri" w:hAnsi="Calibri" w:cs="Calibri"/>
                <w:color w:val="000000"/>
                <w:sz w:val="22"/>
                <w:szCs w:val="22"/>
                <w:lang w:val="en-US"/>
              </w:rPr>
              <w:t>7</w:t>
            </w:r>
          </w:p>
        </w:tc>
        <w:tc>
          <w:tcPr>
            <w:tcW w:w="1880" w:type="dxa"/>
            <w:tcBorders>
              <w:top w:val="nil"/>
              <w:left w:val="nil"/>
              <w:bottom w:val="single" w:sz="4" w:space="0" w:color="auto"/>
              <w:right w:val="single" w:sz="4" w:space="0" w:color="auto"/>
            </w:tcBorders>
            <w:noWrap/>
            <w:vAlign w:val="center"/>
          </w:tcPr>
          <w:p w:rsidR="005574A7" w:rsidRPr="00DC60ED" w:rsidRDefault="005574A7" w:rsidP="007D45C7">
            <w:pPr>
              <w:jc w:val="right"/>
              <w:rPr>
                <w:rFonts w:ascii="Calibri" w:hAnsi="Calibri" w:cs="Calibri"/>
                <w:color w:val="000000"/>
                <w:sz w:val="22"/>
                <w:szCs w:val="22"/>
              </w:rPr>
            </w:pPr>
            <w:r w:rsidRPr="00DC60ED">
              <w:rPr>
                <w:rFonts w:ascii="Calibri" w:hAnsi="Calibri" w:cs="Calibri"/>
                <w:color w:val="000000"/>
                <w:sz w:val="22"/>
                <w:szCs w:val="22"/>
              </w:rPr>
              <w:t>4</w:t>
            </w:r>
          </w:p>
        </w:tc>
        <w:tc>
          <w:tcPr>
            <w:tcW w:w="1191" w:type="dxa"/>
            <w:tcBorders>
              <w:top w:val="nil"/>
              <w:left w:val="nil"/>
              <w:bottom w:val="single" w:sz="4" w:space="0" w:color="auto"/>
              <w:right w:val="single" w:sz="4" w:space="0" w:color="auto"/>
            </w:tcBorders>
            <w:noWrap/>
            <w:vAlign w:val="bottom"/>
          </w:tcPr>
          <w:p w:rsidR="005574A7" w:rsidRPr="00DC60ED" w:rsidRDefault="005574A7" w:rsidP="00E43643">
            <w:pPr>
              <w:jc w:val="right"/>
              <w:rPr>
                <w:rFonts w:ascii="Calibri" w:hAnsi="Calibri" w:cs="Calibri"/>
                <w:color w:val="000000"/>
                <w:sz w:val="22"/>
                <w:szCs w:val="22"/>
              </w:rPr>
            </w:pPr>
            <w:r w:rsidRPr="00DC60ED">
              <w:rPr>
                <w:rFonts w:ascii="Calibri" w:hAnsi="Calibri" w:cs="Calibri"/>
                <w:color w:val="000000"/>
                <w:sz w:val="22"/>
                <w:szCs w:val="22"/>
              </w:rPr>
              <w:t>75,0%</w:t>
            </w:r>
          </w:p>
        </w:tc>
      </w:tr>
      <w:tr w:rsidR="005574A7" w:rsidRPr="00DC60ED">
        <w:trPr>
          <w:trHeight w:val="327"/>
        </w:trPr>
        <w:tc>
          <w:tcPr>
            <w:tcW w:w="4120" w:type="dxa"/>
            <w:tcBorders>
              <w:top w:val="nil"/>
              <w:left w:val="single" w:sz="4" w:space="0" w:color="auto"/>
              <w:bottom w:val="single" w:sz="4" w:space="0" w:color="auto"/>
              <w:right w:val="single" w:sz="4" w:space="0" w:color="auto"/>
            </w:tcBorders>
            <w:noWrap/>
            <w:vAlign w:val="center"/>
          </w:tcPr>
          <w:p w:rsidR="005574A7" w:rsidRPr="00DC60ED" w:rsidRDefault="005574A7" w:rsidP="007D45C7">
            <w:pPr>
              <w:rPr>
                <w:rFonts w:ascii="Calibri" w:hAnsi="Calibri" w:cs="Calibri"/>
                <w:b/>
                <w:bCs/>
                <w:color w:val="000000"/>
                <w:sz w:val="22"/>
                <w:szCs w:val="22"/>
              </w:rPr>
            </w:pPr>
            <w:r w:rsidRPr="00DC60ED">
              <w:rPr>
                <w:rFonts w:ascii="Calibri" w:hAnsi="Calibri" w:cs="Calibri"/>
                <w:b/>
                <w:bCs/>
                <w:color w:val="000000"/>
                <w:sz w:val="22"/>
                <w:szCs w:val="22"/>
              </w:rPr>
              <w:t xml:space="preserve">Καινούργια δίκυκλα (πλέον των 50 </w:t>
            </w:r>
            <w:r w:rsidRPr="00DC60ED">
              <w:rPr>
                <w:rFonts w:ascii="Calibri" w:hAnsi="Calibri" w:cs="Calibri"/>
                <w:b/>
                <w:bCs/>
                <w:color w:val="000000"/>
                <w:sz w:val="22"/>
                <w:szCs w:val="22"/>
                <w:lang w:val="en-US"/>
              </w:rPr>
              <w:t>cc</w:t>
            </w:r>
            <w:r w:rsidRPr="00DC60ED">
              <w:rPr>
                <w:rFonts w:ascii="Calibri" w:hAnsi="Calibri" w:cs="Calibri"/>
                <w:b/>
                <w:bCs/>
                <w:color w:val="000000"/>
                <w:sz w:val="22"/>
                <w:szCs w:val="22"/>
              </w:rPr>
              <w:t>)</w:t>
            </w:r>
          </w:p>
        </w:tc>
        <w:tc>
          <w:tcPr>
            <w:tcW w:w="1880" w:type="dxa"/>
            <w:tcBorders>
              <w:top w:val="nil"/>
              <w:left w:val="nil"/>
              <w:bottom w:val="single" w:sz="4" w:space="0" w:color="auto"/>
              <w:right w:val="single" w:sz="4" w:space="0" w:color="auto"/>
            </w:tcBorders>
            <w:noWrap/>
            <w:vAlign w:val="center"/>
          </w:tcPr>
          <w:p w:rsidR="005574A7" w:rsidRPr="00DC60ED" w:rsidRDefault="005574A7" w:rsidP="00603110">
            <w:pPr>
              <w:jc w:val="right"/>
              <w:rPr>
                <w:rFonts w:ascii="Calibri" w:hAnsi="Calibri" w:cs="Calibri"/>
                <w:color w:val="000000"/>
                <w:sz w:val="22"/>
                <w:szCs w:val="22"/>
                <w:lang w:val="en-US"/>
              </w:rPr>
            </w:pPr>
            <w:r w:rsidRPr="00DC60ED">
              <w:rPr>
                <w:rFonts w:ascii="Calibri" w:hAnsi="Calibri" w:cs="Calibri"/>
                <w:color w:val="000000"/>
                <w:sz w:val="22"/>
                <w:szCs w:val="22"/>
                <w:lang w:val="en-US"/>
              </w:rPr>
              <w:t>3</w:t>
            </w:r>
            <w:r>
              <w:rPr>
                <w:rFonts w:ascii="Calibri" w:hAnsi="Calibri" w:cs="Calibri"/>
                <w:color w:val="000000"/>
                <w:sz w:val="22"/>
                <w:szCs w:val="22"/>
                <w:lang w:val="en-US"/>
              </w:rPr>
              <w:t>.</w:t>
            </w:r>
            <w:r w:rsidRPr="00DC60ED">
              <w:rPr>
                <w:rFonts w:ascii="Calibri" w:hAnsi="Calibri" w:cs="Calibri"/>
                <w:color w:val="000000"/>
                <w:sz w:val="22"/>
                <w:szCs w:val="22"/>
                <w:lang w:val="en-US"/>
              </w:rPr>
              <w:t>124</w:t>
            </w:r>
          </w:p>
        </w:tc>
        <w:tc>
          <w:tcPr>
            <w:tcW w:w="1880" w:type="dxa"/>
            <w:tcBorders>
              <w:top w:val="nil"/>
              <w:left w:val="nil"/>
              <w:bottom w:val="single" w:sz="4" w:space="0" w:color="auto"/>
              <w:right w:val="single" w:sz="4" w:space="0" w:color="auto"/>
            </w:tcBorders>
            <w:noWrap/>
            <w:vAlign w:val="center"/>
          </w:tcPr>
          <w:p w:rsidR="005574A7" w:rsidRPr="00DC60ED" w:rsidRDefault="005574A7" w:rsidP="00C92E39">
            <w:pPr>
              <w:jc w:val="right"/>
              <w:rPr>
                <w:rFonts w:ascii="Calibri" w:hAnsi="Calibri" w:cs="Calibri"/>
                <w:color w:val="000000"/>
                <w:sz w:val="22"/>
                <w:szCs w:val="22"/>
              </w:rPr>
            </w:pPr>
            <w:r w:rsidRPr="00DC60ED">
              <w:rPr>
                <w:rFonts w:ascii="Calibri" w:hAnsi="Calibri" w:cs="Calibri"/>
                <w:color w:val="000000"/>
                <w:sz w:val="22"/>
                <w:szCs w:val="22"/>
              </w:rPr>
              <w:t>3.254</w:t>
            </w:r>
          </w:p>
        </w:tc>
        <w:tc>
          <w:tcPr>
            <w:tcW w:w="1191" w:type="dxa"/>
            <w:tcBorders>
              <w:top w:val="nil"/>
              <w:left w:val="nil"/>
              <w:bottom w:val="single" w:sz="4" w:space="0" w:color="auto"/>
              <w:right w:val="single" w:sz="4" w:space="0" w:color="auto"/>
            </w:tcBorders>
            <w:noWrap/>
            <w:vAlign w:val="bottom"/>
          </w:tcPr>
          <w:p w:rsidR="005574A7" w:rsidRPr="00DC60ED" w:rsidRDefault="005574A7" w:rsidP="00E81835">
            <w:pPr>
              <w:jc w:val="right"/>
              <w:rPr>
                <w:rFonts w:ascii="Calibri" w:hAnsi="Calibri" w:cs="Calibri"/>
                <w:color w:val="000000"/>
                <w:sz w:val="22"/>
                <w:szCs w:val="22"/>
              </w:rPr>
            </w:pPr>
            <w:r w:rsidRPr="00DC60ED">
              <w:rPr>
                <w:rFonts w:ascii="Calibri" w:hAnsi="Calibri" w:cs="Calibri"/>
                <w:color w:val="000000"/>
                <w:sz w:val="22"/>
                <w:szCs w:val="22"/>
              </w:rPr>
              <w:t>-</w:t>
            </w:r>
            <w:r w:rsidRPr="00DC60ED">
              <w:rPr>
                <w:rFonts w:ascii="Calibri" w:hAnsi="Calibri" w:cs="Calibri"/>
                <w:color w:val="000000"/>
                <w:sz w:val="22"/>
                <w:szCs w:val="22"/>
                <w:lang w:val="en-US"/>
              </w:rPr>
              <w:t>4</w:t>
            </w:r>
            <w:r w:rsidRPr="00DC60ED">
              <w:rPr>
                <w:rFonts w:ascii="Calibri" w:hAnsi="Calibri" w:cs="Calibri"/>
                <w:color w:val="000000"/>
                <w:sz w:val="22"/>
                <w:szCs w:val="22"/>
              </w:rPr>
              <w:t>,</w:t>
            </w:r>
            <w:r w:rsidRPr="00DC60ED">
              <w:rPr>
                <w:rFonts w:ascii="Calibri" w:hAnsi="Calibri" w:cs="Calibri"/>
                <w:color w:val="000000"/>
                <w:sz w:val="22"/>
                <w:szCs w:val="22"/>
                <w:lang w:val="en-US"/>
              </w:rPr>
              <w:t>0</w:t>
            </w:r>
            <w:r w:rsidRPr="00DC60ED">
              <w:rPr>
                <w:rFonts w:ascii="Calibri" w:hAnsi="Calibri" w:cs="Calibri"/>
                <w:color w:val="000000"/>
                <w:sz w:val="22"/>
                <w:szCs w:val="22"/>
              </w:rPr>
              <w:t>%</w:t>
            </w:r>
          </w:p>
        </w:tc>
      </w:tr>
      <w:tr w:rsidR="005574A7" w:rsidRPr="00DC60ED">
        <w:trPr>
          <w:trHeight w:val="327"/>
        </w:trPr>
        <w:tc>
          <w:tcPr>
            <w:tcW w:w="4120" w:type="dxa"/>
            <w:tcBorders>
              <w:top w:val="nil"/>
              <w:left w:val="nil"/>
              <w:bottom w:val="nil"/>
              <w:right w:val="nil"/>
            </w:tcBorders>
            <w:noWrap/>
            <w:vAlign w:val="bottom"/>
          </w:tcPr>
          <w:p w:rsidR="005574A7" w:rsidRPr="00DC60ED" w:rsidRDefault="005574A7" w:rsidP="00DC3A7F">
            <w:pPr>
              <w:rPr>
                <w:rFonts w:ascii="Calibri" w:hAnsi="Calibri" w:cs="Calibri"/>
                <w:b/>
                <w:bCs/>
                <w:color w:val="000000"/>
                <w:sz w:val="22"/>
                <w:szCs w:val="22"/>
              </w:rPr>
            </w:pPr>
          </w:p>
        </w:tc>
        <w:tc>
          <w:tcPr>
            <w:tcW w:w="1880" w:type="dxa"/>
            <w:tcBorders>
              <w:top w:val="nil"/>
              <w:left w:val="nil"/>
              <w:bottom w:val="nil"/>
              <w:right w:val="nil"/>
            </w:tcBorders>
            <w:noWrap/>
            <w:vAlign w:val="bottom"/>
          </w:tcPr>
          <w:p w:rsidR="005574A7" w:rsidRPr="00DC60ED" w:rsidRDefault="005574A7" w:rsidP="00DC3A7F">
            <w:pPr>
              <w:rPr>
                <w:rFonts w:ascii="Calibri" w:hAnsi="Calibri" w:cs="Calibri"/>
                <w:color w:val="000000"/>
                <w:sz w:val="22"/>
                <w:szCs w:val="22"/>
              </w:rPr>
            </w:pPr>
          </w:p>
        </w:tc>
        <w:tc>
          <w:tcPr>
            <w:tcW w:w="1880" w:type="dxa"/>
            <w:tcBorders>
              <w:top w:val="nil"/>
              <w:left w:val="nil"/>
              <w:bottom w:val="nil"/>
              <w:right w:val="nil"/>
            </w:tcBorders>
            <w:noWrap/>
            <w:vAlign w:val="bottom"/>
          </w:tcPr>
          <w:p w:rsidR="005574A7" w:rsidRPr="00DC60ED" w:rsidRDefault="005574A7" w:rsidP="00DC3A7F">
            <w:pPr>
              <w:rPr>
                <w:rFonts w:ascii="Calibri" w:hAnsi="Calibri" w:cs="Calibri"/>
                <w:color w:val="000000"/>
                <w:sz w:val="22"/>
                <w:szCs w:val="22"/>
              </w:rPr>
            </w:pPr>
          </w:p>
        </w:tc>
        <w:tc>
          <w:tcPr>
            <w:tcW w:w="1191" w:type="dxa"/>
            <w:tcBorders>
              <w:top w:val="nil"/>
              <w:left w:val="nil"/>
              <w:bottom w:val="nil"/>
              <w:right w:val="nil"/>
            </w:tcBorders>
            <w:noWrap/>
            <w:vAlign w:val="bottom"/>
          </w:tcPr>
          <w:p w:rsidR="005574A7" w:rsidRPr="00DC60ED" w:rsidRDefault="005574A7" w:rsidP="00DC3A7F">
            <w:pPr>
              <w:rPr>
                <w:rFonts w:ascii="Calibri" w:hAnsi="Calibri" w:cs="Calibri"/>
                <w:color w:val="000000"/>
                <w:sz w:val="22"/>
                <w:szCs w:val="22"/>
              </w:rPr>
            </w:pPr>
          </w:p>
        </w:tc>
      </w:tr>
      <w:tr w:rsidR="005574A7" w:rsidRPr="00DC60ED">
        <w:trPr>
          <w:trHeight w:val="579"/>
        </w:trPr>
        <w:tc>
          <w:tcPr>
            <w:tcW w:w="4120" w:type="dxa"/>
            <w:tcBorders>
              <w:top w:val="nil"/>
              <w:left w:val="nil"/>
              <w:bottom w:val="nil"/>
              <w:right w:val="nil"/>
            </w:tcBorders>
            <w:noWrap/>
            <w:vAlign w:val="bottom"/>
          </w:tcPr>
          <w:p w:rsidR="005574A7" w:rsidRPr="00DC60ED" w:rsidRDefault="005574A7" w:rsidP="00DC3A7F">
            <w:pPr>
              <w:rPr>
                <w:rFonts w:ascii="Calibri" w:hAnsi="Calibri" w:cs="Calibri"/>
                <w:b/>
                <w:bCs/>
                <w:color w:val="000000"/>
                <w:sz w:val="22"/>
                <w:szCs w:val="22"/>
              </w:rPr>
            </w:pPr>
          </w:p>
        </w:tc>
        <w:tc>
          <w:tcPr>
            <w:tcW w:w="1880" w:type="dxa"/>
            <w:tcBorders>
              <w:top w:val="single" w:sz="4" w:space="0" w:color="auto"/>
              <w:left w:val="single" w:sz="4" w:space="0" w:color="auto"/>
              <w:bottom w:val="single" w:sz="4" w:space="0" w:color="auto"/>
              <w:right w:val="single" w:sz="4" w:space="0" w:color="auto"/>
            </w:tcBorders>
            <w:noWrap/>
            <w:vAlign w:val="center"/>
          </w:tcPr>
          <w:p w:rsidR="005574A7" w:rsidRPr="00DC60ED" w:rsidRDefault="005574A7" w:rsidP="00760277">
            <w:pPr>
              <w:jc w:val="center"/>
              <w:rPr>
                <w:rFonts w:ascii="Calibri" w:hAnsi="Calibri" w:cs="Calibri"/>
                <w:b/>
                <w:bCs/>
                <w:color w:val="000000"/>
                <w:sz w:val="22"/>
                <w:szCs w:val="22"/>
              </w:rPr>
            </w:pPr>
            <w:r w:rsidRPr="00DC60ED">
              <w:rPr>
                <w:rFonts w:ascii="Calibri" w:hAnsi="Calibri" w:cs="Calibri"/>
                <w:b/>
                <w:bCs/>
                <w:color w:val="000000"/>
                <w:sz w:val="22"/>
                <w:szCs w:val="22"/>
              </w:rPr>
              <w:t>Ιαν.-Σεπ.</w:t>
            </w:r>
          </w:p>
          <w:p w:rsidR="005574A7" w:rsidRPr="00DC60ED" w:rsidRDefault="005574A7" w:rsidP="00760277">
            <w:pPr>
              <w:jc w:val="center"/>
              <w:rPr>
                <w:rFonts w:ascii="Calibri" w:hAnsi="Calibri" w:cs="Calibri"/>
                <w:b/>
                <w:bCs/>
                <w:color w:val="000000"/>
                <w:sz w:val="22"/>
                <w:szCs w:val="22"/>
              </w:rPr>
            </w:pPr>
            <w:r w:rsidRPr="00DC60ED">
              <w:rPr>
                <w:rFonts w:ascii="Calibri" w:hAnsi="Calibri" w:cs="Calibri"/>
                <w:b/>
                <w:bCs/>
                <w:color w:val="000000"/>
                <w:sz w:val="22"/>
                <w:szCs w:val="22"/>
              </w:rPr>
              <w:t>2015</w:t>
            </w:r>
          </w:p>
        </w:tc>
        <w:tc>
          <w:tcPr>
            <w:tcW w:w="1880" w:type="dxa"/>
            <w:tcBorders>
              <w:top w:val="single" w:sz="4" w:space="0" w:color="auto"/>
              <w:left w:val="nil"/>
              <w:bottom w:val="single" w:sz="4" w:space="0" w:color="auto"/>
              <w:right w:val="single" w:sz="4" w:space="0" w:color="auto"/>
            </w:tcBorders>
            <w:noWrap/>
            <w:vAlign w:val="center"/>
          </w:tcPr>
          <w:p w:rsidR="005574A7" w:rsidRPr="00DC60ED" w:rsidRDefault="005574A7" w:rsidP="00760277">
            <w:pPr>
              <w:jc w:val="center"/>
              <w:rPr>
                <w:rFonts w:ascii="Calibri" w:hAnsi="Calibri" w:cs="Calibri"/>
                <w:b/>
                <w:bCs/>
                <w:color w:val="000000"/>
                <w:sz w:val="22"/>
                <w:szCs w:val="22"/>
              </w:rPr>
            </w:pPr>
            <w:r w:rsidRPr="00DC60ED">
              <w:rPr>
                <w:rFonts w:ascii="Calibri" w:hAnsi="Calibri" w:cs="Calibri"/>
                <w:b/>
                <w:bCs/>
                <w:color w:val="000000"/>
                <w:sz w:val="22"/>
                <w:szCs w:val="22"/>
              </w:rPr>
              <w:t>Ιαν.-Σεπ.</w:t>
            </w:r>
          </w:p>
          <w:p w:rsidR="005574A7" w:rsidRPr="00DC60ED" w:rsidRDefault="005574A7" w:rsidP="00760277">
            <w:pPr>
              <w:jc w:val="center"/>
              <w:rPr>
                <w:rFonts w:ascii="Calibri" w:hAnsi="Calibri" w:cs="Calibri"/>
                <w:b/>
                <w:bCs/>
                <w:color w:val="000000"/>
                <w:sz w:val="22"/>
                <w:szCs w:val="22"/>
              </w:rPr>
            </w:pPr>
            <w:r w:rsidRPr="00DC60ED">
              <w:rPr>
                <w:rFonts w:ascii="Calibri" w:hAnsi="Calibri" w:cs="Calibri"/>
                <w:b/>
                <w:bCs/>
                <w:color w:val="000000"/>
                <w:sz w:val="22"/>
                <w:szCs w:val="22"/>
              </w:rPr>
              <w:t>2014</w:t>
            </w:r>
          </w:p>
        </w:tc>
        <w:tc>
          <w:tcPr>
            <w:tcW w:w="1191" w:type="dxa"/>
            <w:tcBorders>
              <w:top w:val="single" w:sz="4" w:space="0" w:color="auto"/>
              <w:left w:val="nil"/>
              <w:bottom w:val="single" w:sz="4" w:space="0" w:color="auto"/>
              <w:right w:val="single" w:sz="4" w:space="0" w:color="auto"/>
            </w:tcBorders>
            <w:noWrap/>
            <w:vAlign w:val="center"/>
          </w:tcPr>
          <w:p w:rsidR="005574A7" w:rsidRPr="00DC60ED" w:rsidRDefault="005574A7" w:rsidP="00760277">
            <w:pPr>
              <w:jc w:val="center"/>
              <w:rPr>
                <w:rFonts w:ascii="Calibri" w:hAnsi="Calibri" w:cs="Calibri"/>
                <w:b/>
                <w:bCs/>
                <w:color w:val="000000"/>
                <w:sz w:val="22"/>
                <w:szCs w:val="22"/>
              </w:rPr>
            </w:pPr>
            <w:r w:rsidRPr="00DC60ED">
              <w:rPr>
                <w:rFonts w:ascii="Calibri" w:hAnsi="Calibri" w:cs="Calibri"/>
                <w:b/>
                <w:bCs/>
                <w:color w:val="000000"/>
                <w:sz w:val="22"/>
                <w:szCs w:val="22"/>
              </w:rPr>
              <w:t>Μεταβολή</w:t>
            </w:r>
          </w:p>
        </w:tc>
      </w:tr>
      <w:tr w:rsidR="005574A7" w:rsidRPr="00DC60ED">
        <w:trPr>
          <w:trHeight w:val="327"/>
        </w:trPr>
        <w:tc>
          <w:tcPr>
            <w:tcW w:w="4120" w:type="dxa"/>
            <w:tcBorders>
              <w:top w:val="single" w:sz="4" w:space="0" w:color="auto"/>
              <w:left w:val="single" w:sz="4" w:space="0" w:color="auto"/>
              <w:bottom w:val="single" w:sz="4" w:space="0" w:color="auto"/>
              <w:right w:val="single" w:sz="4" w:space="0" w:color="auto"/>
            </w:tcBorders>
            <w:noWrap/>
            <w:vAlign w:val="center"/>
          </w:tcPr>
          <w:p w:rsidR="005574A7" w:rsidRPr="00DC60ED" w:rsidRDefault="005574A7" w:rsidP="007D45C7">
            <w:pPr>
              <w:rPr>
                <w:rFonts w:ascii="Calibri" w:hAnsi="Calibri" w:cs="Calibri"/>
                <w:b/>
                <w:bCs/>
                <w:color w:val="000000"/>
                <w:sz w:val="22"/>
                <w:szCs w:val="22"/>
              </w:rPr>
            </w:pPr>
            <w:r w:rsidRPr="00DC60ED">
              <w:rPr>
                <w:rFonts w:ascii="Calibri" w:hAnsi="Calibri" w:cs="Calibri"/>
                <w:b/>
                <w:bCs/>
                <w:color w:val="000000"/>
                <w:sz w:val="22"/>
                <w:szCs w:val="22"/>
              </w:rPr>
              <w:t>Καινούργια επιβατικά</w:t>
            </w:r>
          </w:p>
        </w:tc>
        <w:tc>
          <w:tcPr>
            <w:tcW w:w="1880" w:type="dxa"/>
            <w:tcBorders>
              <w:top w:val="nil"/>
              <w:left w:val="nil"/>
              <w:bottom w:val="single" w:sz="4" w:space="0" w:color="auto"/>
              <w:right w:val="single" w:sz="4" w:space="0" w:color="auto"/>
            </w:tcBorders>
            <w:noWrap/>
            <w:vAlign w:val="bottom"/>
          </w:tcPr>
          <w:p w:rsidR="005574A7" w:rsidRPr="00DC60ED" w:rsidRDefault="005574A7" w:rsidP="00943682">
            <w:pPr>
              <w:jc w:val="right"/>
              <w:rPr>
                <w:rFonts w:ascii="Calibri" w:hAnsi="Calibri" w:cs="Calibri"/>
                <w:color w:val="000000"/>
                <w:sz w:val="22"/>
                <w:szCs w:val="22"/>
                <w:lang w:val="en-US"/>
              </w:rPr>
            </w:pPr>
            <w:r w:rsidRPr="00DC60ED">
              <w:rPr>
                <w:rFonts w:ascii="Calibri" w:hAnsi="Calibri" w:cs="Calibri"/>
                <w:color w:val="000000"/>
                <w:sz w:val="22"/>
                <w:szCs w:val="22"/>
                <w:lang w:val="en-US"/>
              </w:rPr>
              <w:t>58</w:t>
            </w:r>
            <w:r>
              <w:rPr>
                <w:rFonts w:ascii="Calibri" w:hAnsi="Calibri" w:cs="Calibri"/>
                <w:color w:val="000000"/>
                <w:sz w:val="22"/>
                <w:szCs w:val="22"/>
                <w:lang w:val="en-US"/>
              </w:rPr>
              <w:t>.</w:t>
            </w:r>
            <w:r w:rsidRPr="00DC60ED">
              <w:rPr>
                <w:rFonts w:ascii="Calibri" w:hAnsi="Calibri" w:cs="Calibri"/>
                <w:color w:val="000000"/>
                <w:sz w:val="22"/>
                <w:szCs w:val="22"/>
                <w:lang w:val="en-US"/>
              </w:rPr>
              <w:t>183</w:t>
            </w:r>
          </w:p>
        </w:tc>
        <w:tc>
          <w:tcPr>
            <w:tcW w:w="1880" w:type="dxa"/>
            <w:tcBorders>
              <w:top w:val="nil"/>
              <w:left w:val="nil"/>
              <w:bottom w:val="single" w:sz="4" w:space="0" w:color="auto"/>
              <w:right w:val="single" w:sz="4" w:space="0" w:color="auto"/>
            </w:tcBorders>
            <w:noWrap/>
            <w:vAlign w:val="bottom"/>
          </w:tcPr>
          <w:p w:rsidR="005574A7" w:rsidRPr="00DC60ED" w:rsidRDefault="005574A7" w:rsidP="00603110">
            <w:pPr>
              <w:jc w:val="right"/>
              <w:rPr>
                <w:rFonts w:ascii="Calibri" w:hAnsi="Calibri" w:cs="Calibri"/>
                <w:color w:val="000000"/>
                <w:sz w:val="22"/>
                <w:szCs w:val="22"/>
              </w:rPr>
            </w:pPr>
            <w:r w:rsidRPr="00DC60ED">
              <w:rPr>
                <w:rFonts w:ascii="Calibri" w:hAnsi="Calibri" w:cs="Calibri"/>
                <w:color w:val="000000"/>
                <w:sz w:val="22"/>
                <w:szCs w:val="22"/>
              </w:rPr>
              <w:t>53.845</w:t>
            </w:r>
          </w:p>
        </w:tc>
        <w:tc>
          <w:tcPr>
            <w:tcW w:w="1191" w:type="dxa"/>
            <w:tcBorders>
              <w:top w:val="nil"/>
              <w:left w:val="nil"/>
              <w:bottom w:val="single" w:sz="4" w:space="0" w:color="auto"/>
              <w:right w:val="single" w:sz="4" w:space="0" w:color="auto"/>
            </w:tcBorders>
            <w:noWrap/>
            <w:vAlign w:val="bottom"/>
          </w:tcPr>
          <w:p w:rsidR="005574A7" w:rsidRPr="00DC60ED" w:rsidRDefault="005574A7" w:rsidP="000357C1">
            <w:pPr>
              <w:jc w:val="right"/>
              <w:rPr>
                <w:rFonts w:ascii="Calibri" w:hAnsi="Calibri" w:cs="Calibri"/>
                <w:color w:val="000000"/>
                <w:sz w:val="22"/>
                <w:szCs w:val="22"/>
              </w:rPr>
            </w:pPr>
            <w:r w:rsidRPr="00DC60ED">
              <w:rPr>
                <w:rFonts w:ascii="Calibri" w:hAnsi="Calibri" w:cs="Calibri"/>
                <w:color w:val="000000"/>
                <w:sz w:val="22"/>
                <w:szCs w:val="22"/>
              </w:rPr>
              <w:t>8,1%</w:t>
            </w:r>
          </w:p>
        </w:tc>
      </w:tr>
      <w:tr w:rsidR="005574A7" w:rsidRPr="00DC60ED">
        <w:trPr>
          <w:trHeight w:val="327"/>
        </w:trPr>
        <w:tc>
          <w:tcPr>
            <w:tcW w:w="4120" w:type="dxa"/>
            <w:tcBorders>
              <w:top w:val="nil"/>
              <w:left w:val="single" w:sz="4" w:space="0" w:color="auto"/>
              <w:bottom w:val="single" w:sz="4" w:space="0" w:color="auto"/>
              <w:right w:val="single" w:sz="4" w:space="0" w:color="auto"/>
            </w:tcBorders>
            <w:noWrap/>
            <w:vAlign w:val="center"/>
          </w:tcPr>
          <w:p w:rsidR="005574A7" w:rsidRPr="00DC60ED" w:rsidRDefault="005574A7" w:rsidP="007D45C7">
            <w:pPr>
              <w:rPr>
                <w:rFonts w:ascii="Calibri" w:hAnsi="Calibri" w:cs="Calibri"/>
                <w:b/>
                <w:bCs/>
                <w:color w:val="000000"/>
                <w:sz w:val="22"/>
                <w:szCs w:val="22"/>
              </w:rPr>
            </w:pPr>
            <w:r w:rsidRPr="00DC60ED">
              <w:rPr>
                <w:rFonts w:ascii="Calibri" w:hAnsi="Calibri" w:cs="Calibri"/>
                <w:b/>
                <w:bCs/>
                <w:color w:val="000000"/>
                <w:sz w:val="22"/>
                <w:szCs w:val="22"/>
              </w:rPr>
              <w:t>Καινούργια φορτηγά (ελαφρά και βαρέα)</w:t>
            </w:r>
          </w:p>
        </w:tc>
        <w:tc>
          <w:tcPr>
            <w:tcW w:w="1880" w:type="dxa"/>
            <w:tcBorders>
              <w:top w:val="nil"/>
              <w:left w:val="nil"/>
              <w:bottom w:val="single" w:sz="4" w:space="0" w:color="auto"/>
              <w:right w:val="single" w:sz="4" w:space="0" w:color="auto"/>
            </w:tcBorders>
            <w:noWrap/>
            <w:vAlign w:val="bottom"/>
          </w:tcPr>
          <w:p w:rsidR="005574A7" w:rsidRPr="00DC60ED" w:rsidRDefault="005574A7" w:rsidP="009028DA">
            <w:pPr>
              <w:jc w:val="right"/>
              <w:rPr>
                <w:rFonts w:ascii="Calibri" w:hAnsi="Calibri" w:cs="Calibri"/>
                <w:color w:val="000000"/>
                <w:sz w:val="22"/>
                <w:szCs w:val="22"/>
              </w:rPr>
            </w:pPr>
            <w:r w:rsidRPr="00DC60ED">
              <w:rPr>
                <w:rFonts w:ascii="Calibri" w:hAnsi="Calibri" w:cs="Calibri"/>
                <w:color w:val="000000"/>
                <w:sz w:val="22"/>
                <w:szCs w:val="22"/>
                <w:lang w:val="en-US"/>
              </w:rPr>
              <w:t>4</w:t>
            </w:r>
            <w:r>
              <w:rPr>
                <w:rFonts w:ascii="Calibri" w:hAnsi="Calibri" w:cs="Calibri"/>
                <w:color w:val="000000"/>
                <w:sz w:val="22"/>
                <w:szCs w:val="22"/>
                <w:lang w:val="en-US"/>
              </w:rPr>
              <w:t>.</w:t>
            </w:r>
            <w:r w:rsidRPr="00DC60ED">
              <w:rPr>
                <w:rFonts w:ascii="Calibri" w:hAnsi="Calibri" w:cs="Calibri"/>
                <w:color w:val="000000"/>
                <w:sz w:val="22"/>
                <w:szCs w:val="22"/>
                <w:lang w:val="en-US"/>
              </w:rPr>
              <w:t>468</w:t>
            </w:r>
          </w:p>
        </w:tc>
        <w:tc>
          <w:tcPr>
            <w:tcW w:w="1880" w:type="dxa"/>
            <w:tcBorders>
              <w:top w:val="nil"/>
              <w:left w:val="nil"/>
              <w:bottom w:val="single" w:sz="4" w:space="0" w:color="auto"/>
              <w:right w:val="single" w:sz="4" w:space="0" w:color="auto"/>
            </w:tcBorders>
            <w:noWrap/>
            <w:vAlign w:val="bottom"/>
          </w:tcPr>
          <w:p w:rsidR="005574A7" w:rsidRPr="00DC60ED" w:rsidRDefault="005574A7" w:rsidP="00603110">
            <w:pPr>
              <w:jc w:val="right"/>
              <w:rPr>
                <w:rFonts w:ascii="Calibri" w:hAnsi="Calibri" w:cs="Calibri"/>
                <w:color w:val="000000"/>
                <w:sz w:val="22"/>
                <w:szCs w:val="22"/>
              </w:rPr>
            </w:pPr>
            <w:r w:rsidRPr="00DC60ED">
              <w:rPr>
                <w:rFonts w:ascii="Calibri" w:hAnsi="Calibri" w:cs="Calibri"/>
                <w:color w:val="000000"/>
                <w:sz w:val="22"/>
                <w:szCs w:val="22"/>
              </w:rPr>
              <w:t>3.660</w:t>
            </w:r>
          </w:p>
        </w:tc>
        <w:tc>
          <w:tcPr>
            <w:tcW w:w="1191" w:type="dxa"/>
            <w:tcBorders>
              <w:top w:val="nil"/>
              <w:left w:val="nil"/>
              <w:bottom w:val="single" w:sz="4" w:space="0" w:color="auto"/>
              <w:right w:val="single" w:sz="4" w:space="0" w:color="auto"/>
            </w:tcBorders>
            <w:noWrap/>
            <w:vAlign w:val="bottom"/>
          </w:tcPr>
          <w:p w:rsidR="005574A7" w:rsidRPr="00DC60ED" w:rsidRDefault="005574A7" w:rsidP="00E81835">
            <w:pPr>
              <w:jc w:val="right"/>
              <w:rPr>
                <w:rFonts w:ascii="Calibri" w:hAnsi="Calibri" w:cs="Calibri"/>
                <w:color w:val="000000"/>
                <w:sz w:val="22"/>
                <w:szCs w:val="22"/>
              </w:rPr>
            </w:pPr>
            <w:r w:rsidRPr="00DC60ED">
              <w:rPr>
                <w:rFonts w:ascii="Calibri" w:hAnsi="Calibri" w:cs="Calibri"/>
                <w:color w:val="000000"/>
                <w:sz w:val="22"/>
                <w:szCs w:val="22"/>
                <w:lang w:val="en-US"/>
              </w:rPr>
              <w:t>22</w:t>
            </w:r>
            <w:r w:rsidRPr="00DC60ED">
              <w:rPr>
                <w:rFonts w:ascii="Calibri" w:hAnsi="Calibri" w:cs="Calibri"/>
                <w:color w:val="000000"/>
                <w:sz w:val="22"/>
                <w:szCs w:val="22"/>
              </w:rPr>
              <w:t>,</w:t>
            </w:r>
            <w:r w:rsidRPr="00DC60ED">
              <w:rPr>
                <w:rFonts w:ascii="Calibri" w:hAnsi="Calibri" w:cs="Calibri"/>
                <w:color w:val="000000"/>
                <w:sz w:val="22"/>
                <w:szCs w:val="22"/>
                <w:lang w:val="en-US"/>
              </w:rPr>
              <w:t>1</w:t>
            </w:r>
            <w:r w:rsidRPr="00DC60ED">
              <w:rPr>
                <w:rFonts w:ascii="Calibri" w:hAnsi="Calibri" w:cs="Calibri"/>
                <w:color w:val="000000"/>
                <w:sz w:val="22"/>
                <w:szCs w:val="22"/>
              </w:rPr>
              <w:t>%</w:t>
            </w:r>
          </w:p>
        </w:tc>
      </w:tr>
      <w:tr w:rsidR="005574A7" w:rsidRPr="00DC60ED">
        <w:trPr>
          <w:trHeight w:val="327"/>
        </w:trPr>
        <w:tc>
          <w:tcPr>
            <w:tcW w:w="4120" w:type="dxa"/>
            <w:tcBorders>
              <w:top w:val="nil"/>
              <w:left w:val="single" w:sz="4" w:space="0" w:color="auto"/>
              <w:bottom w:val="single" w:sz="4" w:space="0" w:color="auto"/>
              <w:right w:val="single" w:sz="4" w:space="0" w:color="auto"/>
            </w:tcBorders>
            <w:noWrap/>
            <w:vAlign w:val="center"/>
          </w:tcPr>
          <w:p w:rsidR="005574A7" w:rsidRPr="00DC60ED" w:rsidRDefault="005574A7" w:rsidP="007D45C7">
            <w:pPr>
              <w:rPr>
                <w:rFonts w:ascii="Calibri" w:hAnsi="Calibri" w:cs="Calibri"/>
                <w:b/>
                <w:bCs/>
                <w:color w:val="000000"/>
                <w:sz w:val="22"/>
                <w:szCs w:val="22"/>
              </w:rPr>
            </w:pPr>
            <w:r w:rsidRPr="00DC60ED">
              <w:rPr>
                <w:rFonts w:ascii="Calibri" w:hAnsi="Calibri" w:cs="Calibri"/>
                <w:b/>
                <w:bCs/>
                <w:color w:val="000000"/>
                <w:sz w:val="22"/>
                <w:szCs w:val="22"/>
              </w:rPr>
              <w:t>Καινούργια λεωφορεία</w:t>
            </w:r>
          </w:p>
        </w:tc>
        <w:tc>
          <w:tcPr>
            <w:tcW w:w="1880" w:type="dxa"/>
            <w:tcBorders>
              <w:top w:val="nil"/>
              <w:left w:val="nil"/>
              <w:bottom w:val="single" w:sz="4" w:space="0" w:color="auto"/>
              <w:right w:val="single" w:sz="4" w:space="0" w:color="auto"/>
            </w:tcBorders>
            <w:noWrap/>
            <w:vAlign w:val="bottom"/>
          </w:tcPr>
          <w:p w:rsidR="005574A7" w:rsidRPr="00DC60ED" w:rsidRDefault="005574A7" w:rsidP="009028DA">
            <w:pPr>
              <w:jc w:val="right"/>
              <w:rPr>
                <w:rFonts w:ascii="Calibri" w:hAnsi="Calibri" w:cs="Calibri"/>
                <w:color w:val="000000"/>
                <w:sz w:val="22"/>
                <w:szCs w:val="22"/>
              </w:rPr>
            </w:pPr>
            <w:r w:rsidRPr="00DC60ED">
              <w:rPr>
                <w:rFonts w:ascii="Calibri" w:hAnsi="Calibri" w:cs="Calibri"/>
                <w:color w:val="000000"/>
                <w:sz w:val="22"/>
                <w:szCs w:val="22"/>
                <w:lang w:val="en-US"/>
              </w:rPr>
              <w:t>103</w:t>
            </w:r>
          </w:p>
        </w:tc>
        <w:tc>
          <w:tcPr>
            <w:tcW w:w="1880" w:type="dxa"/>
            <w:tcBorders>
              <w:top w:val="nil"/>
              <w:left w:val="nil"/>
              <w:bottom w:val="single" w:sz="4" w:space="0" w:color="auto"/>
              <w:right w:val="single" w:sz="4" w:space="0" w:color="auto"/>
            </w:tcBorders>
            <w:noWrap/>
            <w:vAlign w:val="bottom"/>
          </w:tcPr>
          <w:p w:rsidR="005574A7" w:rsidRPr="00DC60ED" w:rsidRDefault="005574A7" w:rsidP="00603110">
            <w:pPr>
              <w:jc w:val="right"/>
              <w:rPr>
                <w:rFonts w:ascii="Calibri" w:hAnsi="Calibri" w:cs="Calibri"/>
                <w:color w:val="000000"/>
                <w:sz w:val="22"/>
                <w:szCs w:val="22"/>
              </w:rPr>
            </w:pPr>
            <w:r w:rsidRPr="00DC60ED">
              <w:rPr>
                <w:rFonts w:ascii="Calibri" w:hAnsi="Calibri" w:cs="Calibri"/>
                <w:color w:val="000000"/>
                <w:sz w:val="22"/>
                <w:szCs w:val="22"/>
              </w:rPr>
              <w:t>160</w:t>
            </w:r>
          </w:p>
        </w:tc>
        <w:tc>
          <w:tcPr>
            <w:tcW w:w="1191" w:type="dxa"/>
            <w:tcBorders>
              <w:top w:val="nil"/>
              <w:left w:val="nil"/>
              <w:bottom w:val="single" w:sz="4" w:space="0" w:color="auto"/>
              <w:right w:val="single" w:sz="4" w:space="0" w:color="auto"/>
            </w:tcBorders>
            <w:noWrap/>
            <w:vAlign w:val="bottom"/>
          </w:tcPr>
          <w:p w:rsidR="005574A7" w:rsidRPr="00DC60ED" w:rsidRDefault="005574A7" w:rsidP="00D47566">
            <w:pPr>
              <w:jc w:val="right"/>
              <w:rPr>
                <w:rFonts w:ascii="Calibri" w:hAnsi="Calibri" w:cs="Calibri"/>
                <w:color w:val="000000"/>
                <w:sz w:val="22"/>
                <w:szCs w:val="22"/>
              </w:rPr>
            </w:pPr>
            <w:r w:rsidRPr="00DC60ED">
              <w:rPr>
                <w:rFonts w:ascii="Calibri" w:hAnsi="Calibri" w:cs="Calibri"/>
                <w:color w:val="000000"/>
                <w:sz w:val="22"/>
                <w:szCs w:val="22"/>
              </w:rPr>
              <w:t>-</w:t>
            </w:r>
            <w:r w:rsidRPr="00DC60ED">
              <w:rPr>
                <w:rFonts w:ascii="Calibri" w:hAnsi="Calibri" w:cs="Calibri"/>
                <w:color w:val="000000"/>
                <w:sz w:val="22"/>
                <w:szCs w:val="22"/>
                <w:lang w:val="en-US"/>
              </w:rPr>
              <w:t>35</w:t>
            </w:r>
            <w:r w:rsidRPr="00DC60ED">
              <w:rPr>
                <w:rFonts w:ascii="Calibri" w:hAnsi="Calibri" w:cs="Calibri"/>
                <w:color w:val="000000"/>
                <w:sz w:val="22"/>
                <w:szCs w:val="22"/>
              </w:rPr>
              <w:t>,</w:t>
            </w:r>
            <w:r w:rsidRPr="00DC60ED">
              <w:rPr>
                <w:rFonts w:ascii="Calibri" w:hAnsi="Calibri" w:cs="Calibri"/>
                <w:color w:val="000000"/>
                <w:sz w:val="22"/>
                <w:szCs w:val="22"/>
                <w:lang w:val="en-US"/>
              </w:rPr>
              <w:t>6</w:t>
            </w:r>
            <w:r w:rsidRPr="00DC60ED">
              <w:rPr>
                <w:rFonts w:ascii="Calibri" w:hAnsi="Calibri" w:cs="Calibri"/>
                <w:color w:val="000000"/>
                <w:sz w:val="22"/>
                <w:szCs w:val="22"/>
              </w:rPr>
              <w:t>%</w:t>
            </w:r>
          </w:p>
        </w:tc>
      </w:tr>
      <w:tr w:rsidR="005574A7" w:rsidRPr="00DC3A7F">
        <w:trPr>
          <w:trHeight w:val="327"/>
        </w:trPr>
        <w:tc>
          <w:tcPr>
            <w:tcW w:w="4120" w:type="dxa"/>
            <w:tcBorders>
              <w:top w:val="nil"/>
              <w:left w:val="single" w:sz="4" w:space="0" w:color="auto"/>
              <w:bottom w:val="single" w:sz="4" w:space="0" w:color="auto"/>
              <w:right w:val="single" w:sz="4" w:space="0" w:color="auto"/>
            </w:tcBorders>
            <w:noWrap/>
            <w:vAlign w:val="center"/>
          </w:tcPr>
          <w:p w:rsidR="005574A7" w:rsidRPr="00DC60ED" w:rsidRDefault="005574A7" w:rsidP="007D45C7">
            <w:pPr>
              <w:rPr>
                <w:rFonts w:ascii="Calibri" w:hAnsi="Calibri" w:cs="Calibri"/>
                <w:b/>
                <w:bCs/>
                <w:color w:val="000000"/>
                <w:sz w:val="22"/>
                <w:szCs w:val="22"/>
              </w:rPr>
            </w:pPr>
            <w:r w:rsidRPr="00DC60ED">
              <w:rPr>
                <w:rFonts w:ascii="Calibri" w:hAnsi="Calibri" w:cs="Calibri"/>
                <w:b/>
                <w:bCs/>
                <w:color w:val="000000"/>
                <w:sz w:val="22"/>
                <w:szCs w:val="22"/>
              </w:rPr>
              <w:t xml:space="preserve">Καινούργια δίκυκλα (πλέον των 50 </w:t>
            </w:r>
            <w:r w:rsidRPr="00DC60ED">
              <w:rPr>
                <w:rFonts w:ascii="Calibri" w:hAnsi="Calibri" w:cs="Calibri"/>
                <w:b/>
                <w:bCs/>
                <w:color w:val="000000"/>
                <w:sz w:val="22"/>
                <w:szCs w:val="22"/>
                <w:lang w:val="en-US"/>
              </w:rPr>
              <w:t>cc</w:t>
            </w:r>
            <w:r w:rsidRPr="00DC60ED">
              <w:rPr>
                <w:rFonts w:ascii="Calibri" w:hAnsi="Calibri" w:cs="Calibri"/>
                <w:b/>
                <w:bCs/>
                <w:color w:val="000000"/>
                <w:sz w:val="22"/>
                <w:szCs w:val="22"/>
              </w:rPr>
              <w:t>)</w:t>
            </w:r>
          </w:p>
        </w:tc>
        <w:tc>
          <w:tcPr>
            <w:tcW w:w="1880" w:type="dxa"/>
            <w:tcBorders>
              <w:top w:val="nil"/>
              <w:left w:val="nil"/>
              <w:bottom w:val="single" w:sz="4" w:space="0" w:color="auto"/>
              <w:right w:val="single" w:sz="4" w:space="0" w:color="auto"/>
            </w:tcBorders>
            <w:noWrap/>
            <w:vAlign w:val="bottom"/>
          </w:tcPr>
          <w:p w:rsidR="005574A7" w:rsidRPr="00DC60ED" w:rsidRDefault="005574A7" w:rsidP="009028DA">
            <w:pPr>
              <w:jc w:val="right"/>
              <w:rPr>
                <w:rFonts w:ascii="Calibri" w:hAnsi="Calibri" w:cs="Calibri"/>
                <w:color w:val="000000"/>
                <w:sz w:val="22"/>
                <w:szCs w:val="22"/>
              </w:rPr>
            </w:pPr>
            <w:r w:rsidRPr="00DC60ED">
              <w:rPr>
                <w:rFonts w:ascii="Calibri" w:hAnsi="Calibri" w:cs="Calibri"/>
                <w:color w:val="000000"/>
                <w:sz w:val="22"/>
                <w:szCs w:val="22"/>
                <w:lang w:val="en-US"/>
              </w:rPr>
              <w:t>27</w:t>
            </w:r>
            <w:r>
              <w:rPr>
                <w:rFonts w:ascii="Calibri" w:hAnsi="Calibri" w:cs="Calibri"/>
                <w:color w:val="000000"/>
                <w:sz w:val="22"/>
                <w:szCs w:val="22"/>
                <w:lang w:val="en-US"/>
              </w:rPr>
              <w:t>.</w:t>
            </w:r>
            <w:bookmarkStart w:id="3" w:name="_GoBack"/>
            <w:bookmarkEnd w:id="3"/>
            <w:r w:rsidRPr="00DC60ED">
              <w:rPr>
                <w:rFonts w:ascii="Calibri" w:hAnsi="Calibri" w:cs="Calibri"/>
                <w:color w:val="000000"/>
                <w:sz w:val="22"/>
                <w:szCs w:val="22"/>
                <w:lang w:val="en-US"/>
              </w:rPr>
              <w:t>107</w:t>
            </w:r>
          </w:p>
        </w:tc>
        <w:tc>
          <w:tcPr>
            <w:tcW w:w="1880" w:type="dxa"/>
            <w:tcBorders>
              <w:top w:val="nil"/>
              <w:left w:val="nil"/>
              <w:bottom w:val="single" w:sz="4" w:space="0" w:color="auto"/>
              <w:right w:val="single" w:sz="4" w:space="0" w:color="auto"/>
            </w:tcBorders>
            <w:noWrap/>
            <w:vAlign w:val="bottom"/>
          </w:tcPr>
          <w:p w:rsidR="005574A7" w:rsidRPr="00DC60ED" w:rsidRDefault="005574A7" w:rsidP="00603110">
            <w:pPr>
              <w:jc w:val="right"/>
              <w:rPr>
                <w:rFonts w:ascii="Calibri" w:hAnsi="Calibri" w:cs="Calibri"/>
                <w:color w:val="000000"/>
                <w:sz w:val="22"/>
                <w:szCs w:val="22"/>
              </w:rPr>
            </w:pPr>
            <w:r w:rsidRPr="00DC60ED">
              <w:rPr>
                <w:rFonts w:ascii="Calibri" w:hAnsi="Calibri" w:cs="Calibri"/>
                <w:color w:val="000000"/>
                <w:sz w:val="22"/>
                <w:szCs w:val="22"/>
              </w:rPr>
              <w:t>27.251</w:t>
            </w:r>
          </w:p>
        </w:tc>
        <w:tc>
          <w:tcPr>
            <w:tcW w:w="1191" w:type="dxa"/>
            <w:tcBorders>
              <w:top w:val="nil"/>
              <w:left w:val="nil"/>
              <w:bottom w:val="single" w:sz="4" w:space="0" w:color="auto"/>
              <w:right w:val="single" w:sz="4" w:space="0" w:color="auto"/>
            </w:tcBorders>
            <w:noWrap/>
            <w:vAlign w:val="bottom"/>
          </w:tcPr>
          <w:p w:rsidR="005574A7" w:rsidRPr="00DC60ED" w:rsidRDefault="005574A7" w:rsidP="00D47566">
            <w:pPr>
              <w:jc w:val="right"/>
              <w:rPr>
                <w:rFonts w:ascii="Calibri" w:hAnsi="Calibri" w:cs="Calibri"/>
                <w:color w:val="000000"/>
                <w:sz w:val="22"/>
                <w:szCs w:val="22"/>
              </w:rPr>
            </w:pPr>
            <w:r w:rsidRPr="00DC60ED">
              <w:rPr>
                <w:rFonts w:ascii="Calibri" w:hAnsi="Calibri" w:cs="Calibri"/>
                <w:color w:val="000000"/>
                <w:sz w:val="22"/>
                <w:szCs w:val="22"/>
              </w:rPr>
              <w:t>-</w:t>
            </w:r>
            <w:r w:rsidRPr="00DC60ED">
              <w:rPr>
                <w:rFonts w:ascii="Calibri" w:hAnsi="Calibri" w:cs="Calibri"/>
                <w:color w:val="000000"/>
                <w:sz w:val="22"/>
                <w:szCs w:val="22"/>
                <w:lang w:val="en-US"/>
              </w:rPr>
              <w:t>0</w:t>
            </w:r>
            <w:r w:rsidRPr="00DC60ED">
              <w:rPr>
                <w:rFonts w:ascii="Calibri" w:hAnsi="Calibri" w:cs="Calibri"/>
                <w:color w:val="000000"/>
                <w:sz w:val="22"/>
                <w:szCs w:val="22"/>
              </w:rPr>
              <w:t>,</w:t>
            </w:r>
            <w:r w:rsidRPr="00DC60ED">
              <w:rPr>
                <w:rFonts w:ascii="Calibri" w:hAnsi="Calibri" w:cs="Calibri"/>
                <w:color w:val="000000"/>
                <w:sz w:val="22"/>
                <w:szCs w:val="22"/>
                <w:lang w:val="en-US"/>
              </w:rPr>
              <w:t>5</w:t>
            </w:r>
            <w:r w:rsidRPr="00DC60ED">
              <w:rPr>
                <w:rFonts w:ascii="Calibri" w:hAnsi="Calibri" w:cs="Calibri"/>
                <w:color w:val="000000"/>
                <w:sz w:val="22"/>
                <w:szCs w:val="22"/>
              </w:rPr>
              <w:t>%</w:t>
            </w:r>
          </w:p>
        </w:tc>
      </w:tr>
    </w:tbl>
    <w:p w:rsidR="005574A7" w:rsidRDefault="005574A7" w:rsidP="004B447F">
      <w:pPr>
        <w:jc w:val="both"/>
      </w:pPr>
    </w:p>
    <w:sectPr w:rsidR="005574A7" w:rsidSect="008A44F8">
      <w:footerReference w:type="default" r:id="rId8"/>
      <w:pgSz w:w="11906" w:h="16838"/>
      <w:pgMar w:top="1418" w:right="1559" w:bottom="142" w:left="1701" w:header="709" w:footer="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4A7" w:rsidRDefault="005574A7">
      <w:r>
        <w:separator/>
      </w:r>
    </w:p>
  </w:endnote>
  <w:endnote w:type="continuationSeparator" w:id="1">
    <w:p w:rsidR="005574A7" w:rsidRDefault="00557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A7" w:rsidRDefault="005574A7" w:rsidP="00B63F8D">
    <w:pPr>
      <w:pStyle w:val="Footer"/>
      <w:tabs>
        <w:tab w:val="clear" w:pos="4153"/>
        <w:tab w:val="clear" w:pos="8306"/>
        <w:tab w:val="left" w:pos="1260"/>
        <w:tab w:val="left" w:pos="1440"/>
      </w:tabs>
      <w:rPr>
        <w:rFonts w:ascii="Century Gothic" w:hAnsi="Century Gothic" w:cs="Century Gothic"/>
        <w:b/>
        <w:bCs/>
        <w:sz w:val="16"/>
        <w:szCs w:val="16"/>
        <w:lang w:val="el-GR"/>
      </w:rPr>
    </w:pPr>
    <w:r>
      <w:rPr>
        <w:rFonts w:ascii="Century Gothic" w:hAnsi="Century Gothic" w:cs="Century Gothic"/>
        <w:b/>
        <w:bCs/>
        <w:sz w:val="16"/>
        <w:szCs w:val="16"/>
        <w:lang w:val="el-GR"/>
      </w:rPr>
      <w:t xml:space="preserve">Γραφείο Τύπου </w:t>
    </w:r>
  </w:p>
  <w:p w:rsidR="005574A7" w:rsidRDefault="005574A7" w:rsidP="00B63F8D">
    <w:pPr>
      <w:pStyle w:val="Footer"/>
      <w:tabs>
        <w:tab w:val="clear" w:pos="4153"/>
        <w:tab w:val="clear" w:pos="8306"/>
        <w:tab w:val="left" w:pos="1260"/>
        <w:tab w:val="left" w:pos="1440"/>
      </w:tabs>
      <w:rPr>
        <w:rFonts w:ascii="Century Gothic" w:hAnsi="Century Gothic" w:cs="Century Gothic"/>
        <w:b/>
        <w:bCs/>
        <w:sz w:val="16"/>
        <w:szCs w:val="16"/>
        <w:lang w:val="el-GR"/>
      </w:rPr>
    </w:pPr>
    <w:r>
      <w:rPr>
        <w:rFonts w:ascii="Century Gothic" w:hAnsi="Century Gothic" w:cs="Century Gothic"/>
        <w:b/>
        <w:bCs/>
        <w:sz w:val="16"/>
        <w:szCs w:val="16"/>
        <w:lang w:val="el-GR"/>
      </w:rPr>
      <w:t>Πληροφορίες</w:t>
    </w:r>
    <w:r>
      <w:rPr>
        <w:rFonts w:ascii="Century Gothic" w:hAnsi="Century Gothic" w:cs="Century Gothic"/>
        <w:b/>
        <w:bCs/>
        <w:sz w:val="16"/>
        <w:szCs w:val="16"/>
        <w:lang w:val="el-GR"/>
      </w:rPr>
      <w:tab/>
      <w:t>:</w:t>
    </w:r>
    <w:r>
      <w:rPr>
        <w:rFonts w:ascii="Century Gothic" w:hAnsi="Century Gothic" w:cs="Century Gothic"/>
        <w:b/>
        <w:bCs/>
        <w:sz w:val="16"/>
        <w:szCs w:val="16"/>
        <w:lang w:val="el-GR"/>
      </w:rPr>
      <w:tab/>
      <w:t>κ.Ευγένιος Κούλας</w:t>
    </w:r>
  </w:p>
  <w:p w:rsidR="005574A7" w:rsidRPr="00AC0759" w:rsidRDefault="005574A7" w:rsidP="00B63F8D">
    <w:pPr>
      <w:pStyle w:val="Footer"/>
      <w:tabs>
        <w:tab w:val="clear" w:pos="4153"/>
        <w:tab w:val="clear" w:pos="8306"/>
        <w:tab w:val="left" w:pos="1260"/>
        <w:tab w:val="left" w:pos="1440"/>
      </w:tabs>
      <w:rPr>
        <w:rFonts w:ascii="Century Gothic" w:hAnsi="Century Gothic" w:cs="Century Gothic"/>
        <w:b/>
        <w:bCs/>
        <w:sz w:val="16"/>
        <w:szCs w:val="16"/>
        <w:lang w:val="el-GR"/>
      </w:rPr>
    </w:pPr>
    <w:r w:rsidRPr="00EE3349">
      <w:rPr>
        <w:rFonts w:ascii="Century Gothic" w:hAnsi="Century Gothic" w:cs="Century Gothic"/>
        <w:b/>
        <w:bCs/>
        <w:sz w:val="16"/>
        <w:szCs w:val="16"/>
        <w:lang w:val="el-GR"/>
      </w:rPr>
      <w:t>Τηλέφωνο</w:t>
    </w:r>
    <w:r w:rsidRPr="00AC0759">
      <w:rPr>
        <w:rFonts w:ascii="Century Gothic" w:hAnsi="Century Gothic" w:cs="Century Gothic"/>
        <w:b/>
        <w:bCs/>
        <w:sz w:val="16"/>
        <w:szCs w:val="16"/>
        <w:lang w:val="el-GR"/>
      </w:rPr>
      <w:tab/>
      <w:t>:</w:t>
    </w:r>
    <w:r w:rsidRPr="00AC0759">
      <w:rPr>
        <w:rFonts w:ascii="Century Gothic" w:hAnsi="Century Gothic" w:cs="Century Gothic"/>
        <w:b/>
        <w:bCs/>
        <w:sz w:val="16"/>
        <w:szCs w:val="16"/>
        <w:lang w:val="el-GR"/>
      </w:rPr>
      <w:tab/>
      <w:t>210-6891400</w:t>
    </w:r>
  </w:p>
  <w:p w:rsidR="005574A7" w:rsidRPr="00AC0759" w:rsidRDefault="005574A7" w:rsidP="00B63F8D">
    <w:pPr>
      <w:pStyle w:val="Footer"/>
      <w:tabs>
        <w:tab w:val="clear" w:pos="4153"/>
        <w:tab w:val="clear" w:pos="8306"/>
        <w:tab w:val="left" w:pos="1260"/>
        <w:tab w:val="left" w:pos="1440"/>
      </w:tabs>
      <w:rPr>
        <w:rFonts w:ascii="Century Gothic" w:hAnsi="Century Gothic" w:cs="Century Gothic"/>
        <w:b/>
        <w:bCs/>
        <w:sz w:val="16"/>
        <w:szCs w:val="16"/>
        <w:lang w:val="el-GR"/>
      </w:rPr>
    </w:pPr>
    <w:r>
      <w:rPr>
        <w:rFonts w:ascii="Century Gothic" w:hAnsi="Century Gothic" w:cs="Century Gothic"/>
        <w:b/>
        <w:bCs/>
        <w:sz w:val="16"/>
        <w:szCs w:val="16"/>
      </w:rPr>
      <w:t>Fax</w:t>
    </w:r>
    <w:r w:rsidRPr="00AC0759">
      <w:rPr>
        <w:rFonts w:ascii="Century Gothic" w:hAnsi="Century Gothic" w:cs="Century Gothic"/>
        <w:b/>
        <w:bCs/>
        <w:sz w:val="16"/>
        <w:szCs w:val="16"/>
        <w:lang w:val="el-GR"/>
      </w:rPr>
      <w:tab/>
      <w:t>:   210-6859022</w:t>
    </w:r>
  </w:p>
  <w:p w:rsidR="005574A7" w:rsidRPr="00A66050" w:rsidRDefault="005574A7" w:rsidP="00B63F8D">
    <w:pPr>
      <w:pStyle w:val="Footer"/>
      <w:rPr>
        <w:rFonts w:ascii="Century Gothic" w:hAnsi="Century Gothic" w:cs="Century Gothic"/>
        <w:b/>
        <w:bCs/>
        <w:sz w:val="16"/>
        <w:szCs w:val="16"/>
        <w:lang w:val="en-US"/>
      </w:rPr>
    </w:pPr>
    <w:r w:rsidRPr="00730F23">
      <w:rPr>
        <w:rFonts w:ascii="Century Gothic" w:hAnsi="Century Gothic" w:cs="Century Gothic"/>
        <w:b/>
        <w:bCs/>
        <w:sz w:val="16"/>
        <w:szCs w:val="16"/>
      </w:rPr>
      <w:t>e</w:t>
    </w:r>
    <w:r w:rsidRPr="00A66050">
      <w:rPr>
        <w:rFonts w:ascii="Century Gothic" w:hAnsi="Century Gothic" w:cs="Century Gothic"/>
        <w:b/>
        <w:bCs/>
        <w:sz w:val="16"/>
        <w:szCs w:val="16"/>
        <w:lang w:val="en-US"/>
      </w:rPr>
      <w:t>-</w:t>
    </w:r>
    <w:r w:rsidRPr="00730F23">
      <w:rPr>
        <w:rFonts w:ascii="Century Gothic" w:hAnsi="Century Gothic" w:cs="Century Gothic"/>
        <w:b/>
        <w:bCs/>
        <w:sz w:val="16"/>
        <w:szCs w:val="16"/>
      </w:rPr>
      <w:t>mailaddress</w:t>
    </w:r>
    <w:r w:rsidRPr="00A66050">
      <w:rPr>
        <w:rFonts w:ascii="Century Gothic" w:hAnsi="Century Gothic" w:cs="Century Gothic"/>
        <w:b/>
        <w:bCs/>
        <w:sz w:val="16"/>
        <w:szCs w:val="16"/>
        <w:lang w:val="en-US"/>
      </w:rPr>
      <w:t xml:space="preserve">  :   </w:t>
    </w:r>
    <w:r w:rsidRPr="00461407">
      <w:rPr>
        <w:rFonts w:ascii="Century Gothic" w:hAnsi="Century Gothic" w:cs="Century Gothic"/>
        <w:b/>
        <w:bCs/>
        <w:sz w:val="16"/>
        <w:szCs w:val="16"/>
      </w:rPr>
      <w:t>info</w:t>
    </w:r>
    <w:r w:rsidRPr="00461407">
      <w:rPr>
        <w:rFonts w:ascii="Century Gothic" w:hAnsi="Century Gothic" w:cs="Century Gothic"/>
        <w:b/>
        <w:bCs/>
        <w:sz w:val="16"/>
        <w:szCs w:val="16"/>
        <w:lang w:val="en-US"/>
      </w:rPr>
      <w:t>@</w:t>
    </w:r>
    <w:r w:rsidRPr="00461407">
      <w:rPr>
        <w:rFonts w:ascii="Century Gothic" w:hAnsi="Century Gothic" w:cs="Century Gothic"/>
        <w:b/>
        <w:bCs/>
        <w:sz w:val="16"/>
        <w:szCs w:val="16"/>
      </w:rPr>
      <w:t>seaa</w:t>
    </w:r>
    <w:r w:rsidRPr="00461407">
      <w:rPr>
        <w:rFonts w:ascii="Century Gothic" w:hAnsi="Century Gothic" w:cs="Century Gothic"/>
        <w:b/>
        <w:bCs/>
        <w:sz w:val="16"/>
        <w:szCs w:val="16"/>
        <w:lang w:val="en-US"/>
      </w:rPr>
      <w:t>.</w:t>
    </w:r>
    <w:r w:rsidRPr="00461407">
      <w:rPr>
        <w:rFonts w:ascii="Century Gothic" w:hAnsi="Century Gothic" w:cs="Century Gothic"/>
        <w:b/>
        <w:bCs/>
        <w:sz w:val="16"/>
        <w:szCs w:val="16"/>
      </w:rPr>
      <w:t>gr</w:t>
    </w:r>
  </w:p>
  <w:p w:rsidR="005574A7" w:rsidRPr="00DC60ED" w:rsidRDefault="005574A7" w:rsidP="00B63F8D">
    <w:pPr>
      <w:pStyle w:val="Footer"/>
      <w:rPr>
        <w:rFonts w:ascii="Century Gothic" w:hAnsi="Century Gothic" w:cs="Century Gothic"/>
        <w:sz w:val="16"/>
        <w:szCs w:val="16"/>
        <w:lang w:val="en-US"/>
      </w:rPr>
    </w:pPr>
    <w:r w:rsidRPr="00F4466E">
      <w:rPr>
        <w:rFonts w:ascii="Century Gothic" w:hAnsi="Century Gothic" w:cs="Century Gothic"/>
        <w:b/>
        <w:bCs/>
        <w:sz w:val="16"/>
        <w:szCs w:val="16"/>
        <w:lang w:val="el-GR"/>
      </w:rPr>
      <w:t>Αρ.πρ. 20</w:t>
    </w:r>
    <w:r>
      <w:rPr>
        <w:rFonts w:ascii="Century Gothic" w:hAnsi="Century Gothic" w:cs="Century Gothic"/>
        <w:b/>
        <w:bCs/>
        <w:sz w:val="16"/>
        <w:szCs w:val="16"/>
        <w:lang w:val="en-US"/>
      </w:rPr>
      <w:t>971</w:t>
    </w:r>
  </w:p>
  <w:p w:rsidR="005574A7" w:rsidRDefault="00557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4A7" w:rsidRDefault="005574A7">
      <w:r>
        <w:separator/>
      </w:r>
    </w:p>
  </w:footnote>
  <w:footnote w:type="continuationSeparator" w:id="1">
    <w:p w:rsidR="005574A7" w:rsidRDefault="00557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B95"/>
    <w:multiLevelType w:val="hybridMultilevel"/>
    <w:tmpl w:val="5EAAFC9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0A9937F8"/>
    <w:multiLevelType w:val="hybridMultilevel"/>
    <w:tmpl w:val="B1F48C6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0C7645DC"/>
    <w:multiLevelType w:val="hybridMultilevel"/>
    <w:tmpl w:val="A4D033C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15516C0F"/>
    <w:multiLevelType w:val="hybridMultilevel"/>
    <w:tmpl w:val="8E7A604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1AF304F1"/>
    <w:multiLevelType w:val="hybridMultilevel"/>
    <w:tmpl w:val="90B28AA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411A4A1D"/>
    <w:multiLevelType w:val="hybridMultilevel"/>
    <w:tmpl w:val="115C48F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4E3913DB"/>
    <w:multiLevelType w:val="hybridMultilevel"/>
    <w:tmpl w:val="B590E1B6"/>
    <w:lvl w:ilvl="0" w:tplc="04080001">
      <w:start w:val="1"/>
      <w:numFmt w:val="bullet"/>
      <w:lvlText w:val=""/>
      <w:lvlJc w:val="left"/>
      <w:pPr>
        <w:ind w:left="785" w:hanging="360"/>
      </w:pPr>
      <w:rPr>
        <w:rFonts w:ascii="Symbol" w:hAnsi="Symbol" w:cs="Symbol" w:hint="default"/>
      </w:rPr>
    </w:lvl>
    <w:lvl w:ilvl="1" w:tplc="04080003">
      <w:start w:val="1"/>
      <w:numFmt w:val="bullet"/>
      <w:lvlText w:val="o"/>
      <w:lvlJc w:val="left"/>
      <w:pPr>
        <w:ind w:left="1505" w:hanging="360"/>
      </w:pPr>
      <w:rPr>
        <w:rFonts w:ascii="Courier New" w:hAnsi="Courier New" w:cs="Courier New" w:hint="default"/>
      </w:rPr>
    </w:lvl>
    <w:lvl w:ilvl="2" w:tplc="04080005">
      <w:start w:val="1"/>
      <w:numFmt w:val="bullet"/>
      <w:lvlText w:val=""/>
      <w:lvlJc w:val="left"/>
      <w:pPr>
        <w:ind w:left="2225" w:hanging="360"/>
      </w:pPr>
      <w:rPr>
        <w:rFonts w:ascii="Wingdings" w:hAnsi="Wingdings" w:cs="Wingdings" w:hint="default"/>
      </w:rPr>
    </w:lvl>
    <w:lvl w:ilvl="3" w:tplc="04080001">
      <w:start w:val="1"/>
      <w:numFmt w:val="bullet"/>
      <w:lvlText w:val=""/>
      <w:lvlJc w:val="left"/>
      <w:pPr>
        <w:ind w:left="2945" w:hanging="360"/>
      </w:pPr>
      <w:rPr>
        <w:rFonts w:ascii="Symbol" w:hAnsi="Symbol" w:cs="Symbol" w:hint="default"/>
      </w:rPr>
    </w:lvl>
    <w:lvl w:ilvl="4" w:tplc="04080003">
      <w:start w:val="1"/>
      <w:numFmt w:val="bullet"/>
      <w:lvlText w:val="o"/>
      <w:lvlJc w:val="left"/>
      <w:pPr>
        <w:ind w:left="3665" w:hanging="360"/>
      </w:pPr>
      <w:rPr>
        <w:rFonts w:ascii="Courier New" w:hAnsi="Courier New" w:cs="Courier New" w:hint="default"/>
      </w:rPr>
    </w:lvl>
    <w:lvl w:ilvl="5" w:tplc="04080005">
      <w:start w:val="1"/>
      <w:numFmt w:val="bullet"/>
      <w:lvlText w:val=""/>
      <w:lvlJc w:val="left"/>
      <w:pPr>
        <w:ind w:left="4385" w:hanging="360"/>
      </w:pPr>
      <w:rPr>
        <w:rFonts w:ascii="Wingdings" w:hAnsi="Wingdings" w:cs="Wingdings" w:hint="default"/>
      </w:rPr>
    </w:lvl>
    <w:lvl w:ilvl="6" w:tplc="04080001">
      <w:start w:val="1"/>
      <w:numFmt w:val="bullet"/>
      <w:lvlText w:val=""/>
      <w:lvlJc w:val="left"/>
      <w:pPr>
        <w:ind w:left="5105" w:hanging="360"/>
      </w:pPr>
      <w:rPr>
        <w:rFonts w:ascii="Symbol" w:hAnsi="Symbol" w:cs="Symbol" w:hint="default"/>
      </w:rPr>
    </w:lvl>
    <w:lvl w:ilvl="7" w:tplc="04080003">
      <w:start w:val="1"/>
      <w:numFmt w:val="bullet"/>
      <w:lvlText w:val="o"/>
      <w:lvlJc w:val="left"/>
      <w:pPr>
        <w:ind w:left="5825" w:hanging="360"/>
      </w:pPr>
      <w:rPr>
        <w:rFonts w:ascii="Courier New" w:hAnsi="Courier New" w:cs="Courier New" w:hint="default"/>
      </w:rPr>
    </w:lvl>
    <w:lvl w:ilvl="8" w:tplc="04080005">
      <w:start w:val="1"/>
      <w:numFmt w:val="bullet"/>
      <w:lvlText w:val=""/>
      <w:lvlJc w:val="left"/>
      <w:pPr>
        <w:ind w:left="6545" w:hanging="360"/>
      </w:pPr>
      <w:rPr>
        <w:rFonts w:ascii="Wingdings" w:hAnsi="Wingdings" w:cs="Wingdings" w:hint="default"/>
      </w:rPr>
    </w:lvl>
  </w:abstractNum>
  <w:abstractNum w:abstractNumId="7">
    <w:nsid w:val="4EFB49D7"/>
    <w:multiLevelType w:val="hybridMultilevel"/>
    <w:tmpl w:val="0948770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532B658E"/>
    <w:multiLevelType w:val="hybridMultilevel"/>
    <w:tmpl w:val="8E4EBC7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nsid w:val="588D51BA"/>
    <w:multiLevelType w:val="hybridMultilevel"/>
    <w:tmpl w:val="4232DFEA"/>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682343DB"/>
    <w:multiLevelType w:val="multilevel"/>
    <w:tmpl w:val="4232DF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8F42D98"/>
    <w:multiLevelType w:val="hybridMultilevel"/>
    <w:tmpl w:val="9C68E7A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6A0B0148"/>
    <w:multiLevelType w:val="hybridMultilevel"/>
    <w:tmpl w:val="C726709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nsid w:val="72BB354E"/>
    <w:multiLevelType w:val="hybridMultilevel"/>
    <w:tmpl w:val="6A1E783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9"/>
  </w:num>
  <w:num w:numId="2">
    <w:abstractNumId w:val="10"/>
  </w:num>
  <w:num w:numId="3">
    <w:abstractNumId w:val="12"/>
  </w:num>
  <w:num w:numId="4">
    <w:abstractNumId w:val="7"/>
  </w:num>
  <w:num w:numId="5">
    <w:abstractNumId w:val="4"/>
  </w:num>
  <w:num w:numId="6">
    <w:abstractNumId w:val="1"/>
  </w:num>
  <w:num w:numId="7">
    <w:abstractNumId w:val="3"/>
  </w:num>
  <w:num w:numId="8">
    <w:abstractNumId w:val="13"/>
  </w:num>
  <w:num w:numId="9">
    <w:abstractNumId w:val="0"/>
  </w:num>
  <w:num w:numId="10">
    <w:abstractNumId w:val="6"/>
  </w:num>
  <w:num w:numId="11">
    <w:abstractNumId w:val="2"/>
  </w:num>
  <w:num w:numId="12">
    <w:abstractNumId w:val="8"/>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535"/>
    <w:rsid w:val="00000490"/>
    <w:rsid w:val="00000599"/>
    <w:rsid w:val="00000A81"/>
    <w:rsid w:val="0000579B"/>
    <w:rsid w:val="000072A3"/>
    <w:rsid w:val="0001209B"/>
    <w:rsid w:val="00013908"/>
    <w:rsid w:val="00014337"/>
    <w:rsid w:val="00014EEF"/>
    <w:rsid w:val="00017B00"/>
    <w:rsid w:val="00017E79"/>
    <w:rsid w:val="0002041D"/>
    <w:rsid w:val="00020A8E"/>
    <w:rsid w:val="00020ECF"/>
    <w:rsid w:val="00023D6D"/>
    <w:rsid w:val="000255E3"/>
    <w:rsid w:val="00026357"/>
    <w:rsid w:val="00026C41"/>
    <w:rsid w:val="0003257F"/>
    <w:rsid w:val="000356EA"/>
    <w:rsid w:val="000357C1"/>
    <w:rsid w:val="000371B0"/>
    <w:rsid w:val="00037F77"/>
    <w:rsid w:val="000440B9"/>
    <w:rsid w:val="00046063"/>
    <w:rsid w:val="00047F2A"/>
    <w:rsid w:val="00051771"/>
    <w:rsid w:val="00053C5E"/>
    <w:rsid w:val="00055C76"/>
    <w:rsid w:val="00060509"/>
    <w:rsid w:val="00061EEA"/>
    <w:rsid w:val="000653F6"/>
    <w:rsid w:val="00067F21"/>
    <w:rsid w:val="00070787"/>
    <w:rsid w:val="0007387D"/>
    <w:rsid w:val="00076DC9"/>
    <w:rsid w:val="0008207C"/>
    <w:rsid w:val="0008267C"/>
    <w:rsid w:val="00090B28"/>
    <w:rsid w:val="00092108"/>
    <w:rsid w:val="000960DF"/>
    <w:rsid w:val="00096364"/>
    <w:rsid w:val="00096A05"/>
    <w:rsid w:val="00096DDC"/>
    <w:rsid w:val="000A5F29"/>
    <w:rsid w:val="000A666D"/>
    <w:rsid w:val="000B253A"/>
    <w:rsid w:val="000C2E20"/>
    <w:rsid w:val="000C31D3"/>
    <w:rsid w:val="000C44F9"/>
    <w:rsid w:val="000C52DE"/>
    <w:rsid w:val="000C6361"/>
    <w:rsid w:val="000D06CB"/>
    <w:rsid w:val="000D464B"/>
    <w:rsid w:val="000E0109"/>
    <w:rsid w:val="000E0C8C"/>
    <w:rsid w:val="000E295E"/>
    <w:rsid w:val="000E34C2"/>
    <w:rsid w:val="000E6F5A"/>
    <w:rsid w:val="000F6A6C"/>
    <w:rsid w:val="000F7F08"/>
    <w:rsid w:val="0010225C"/>
    <w:rsid w:val="00103293"/>
    <w:rsid w:val="00103E41"/>
    <w:rsid w:val="00104228"/>
    <w:rsid w:val="00113EC3"/>
    <w:rsid w:val="00115ECE"/>
    <w:rsid w:val="00123AC2"/>
    <w:rsid w:val="00126D9E"/>
    <w:rsid w:val="00131C84"/>
    <w:rsid w:val="00132009"/>
    <w:rsid w:val="00133164"/>
    <w:rsid w:val="001336A2"/>
    <w:rsid w:val="00133805"/>
    <w:rsid w:val="00134DEF"/>
    <w:rsid w:val="00135C17"/>
    <w:rsid w:val="00136955"/>
    <w:rsid w:val="00136B9B"/>
    <w:rsid w:val="001408C5"/>
    <w:rsid w:val="001410A2"/>
    <w:rsid w:val="0014314C"/>
    <w:rsid w:val="00143E86"/>
    <w:rsid w:val="00144DF5"/>
    <w:rsid w:val="00146AC2"/>
    <w:rsid w:val="001478AE"/>
    <w:rsid w:val="0015258D"/>
    <w:rsid w:val="00152E37"/>
    <w:rsid w:val="00155A8A"/>
    <w:rsid w:val="00156AF0"/>
    <w:rsid w:val="001571C3"/>
    <w:rsid w:val="00157350"/>
    <w:rsid w:val="001608BD"/>
    <w:rsid w:val="001611D6"/>
    <w:rsid w:val="00162E80"/>
    <w:rsid w:val="00164F0F"/>
    <w:rsid w:val="00166472"/>
    <w:rsid w:val="00166B49"/>
    <w:rsid w:val="00166E12"/>
    <w:rsid w:val="00171535"/>
    <w:rsid w:val="00171A41"/>
    <w:rsid w:val="001721E4"/>
    <w:rsid w:val="00175AE2"/>
    <w:rsid w:val="0017673F"/>
    <w:rsid w:val="001768D3"/>
    <w:rsid w:val="00183E41"/>
    <w:rsid w:val="0018599A"/>
    <w:rsid w:val="0019542D"/>
    <w:rsid w:val="001A1A9A"/>
    <w:rsid w:val="001A2AF6"/>
    <w:rsid w:val="001A4B72"/>
    <w:rsid w:val="001A7F42"/>
    <w:rsid w:val="001B1200"/>
    <w:rsid w:val="001B2B57"/>
    <w:rsid w:val="001B4530"/>
    <w:rsid w:val="001B626D"/>
    <w:rsid w:val="001C021A"/>
    <w:rsid w:val="001C2E75"/>
    <w:rsid w:val="001D3EBF"/>
    <w:rsid w:val="001D4CFB"/>
    <w:rsid w:val="001D5508"/>
    <w:rsid w:val="001D5A19"/>
    <w:rsid w:val="001D6D14"/>
    <w:rsid w:val="001E22E1"/>
    <w:rsid w:val="001F080E"/>
    <w:rsid w:val="001F0F27"/>
    <w:rsid w:val="001F2417"/>
    <w:rsid w:val="001F3696"/>
    <w:rsid w:val="001F36EE"/>
    <w:rsid w:val="001F510A"/>
    <w:rsid w:val="001F6861"/>
    <w:rsid w:val="0020087C"/>
    <w:rsid w:val="002008E8"/>
    <w:rsid w:val="002015D5"/>
    <w:rsid w:val="00202ACF"/>
    <w:rsid w:val="00203844"/>
    <w:rsid w:val="00206286"/>
    <w:rsid w:val="00207289"/>
    <w:rsid w:val="00207C96"/>
    <w:rsid w:val="0021750B"/>
    <w:rsid w:val="00217F9C"/>
    <w:rsid w:val="00230528"/>
    <w:rsid w:val="002314C9"/>
    <w:rsid w:val="002349F4"/>
    <w:rsid w:val="00234E90"/>
    <w:rsid w:val="00237D48"/>
    <w:rsid w:val="00240C56"/>
    <w:rsid w:val="00244A0F"/>
    <w:rsid w:val="002506E3"/>
    <w:rsid w:val="00251BBA"/>
    <w:rsid w:val="00251CEA"/>
    <w:rsid w:val="00253801"/>
    <w:rsid w:val="0025452F"/>
    <w:rsid w:val="00254C80"/>
    <w:rsid w:val="002554DB"/>
    <w:rsid w:val="00257E75"/>
    <w:rsid w:val="002622A1"/>
    <w:rsid w:val="00264029"/>
    <w:rsid w:val="00264168"/>
    <w:rsid w:val="002663B1"/>
    <w:rsid w:val="00266D66"/>
    <w:rsid w:val="00274631"/>
    <w:rsid w:val="00281698"/>
    <w:rsid w:val="00285220"/>
    <w:rsid w:val="00290A21"/>
    <w:rsid w:val="0029158D"/>
    <w:rsid w:val="00291D02"/>
    <w:rsid w:val="00292A98"/>
    <w:rsid w:val="002935ED"/>
    <w:rsid w:val="002A35A1"/>
    <w:rsid w:val="002A42E2"/>
    <w:rsid w:val="002B0BB3"/>
    <w:rsid w:val="002B1D16"/>
    <w:rsid w:val="002B2948"/>
    <w:rsid w:val="002B43F8"/>
    <w:rsid w:val="002C169A"/>
    <w:rsid w:val="002C1C83"/>
    <w:rsid w:val="002C35F7"/>
    <w:rsid w:val="002D0C37"/>
    <w:rsid w:val="002D0E3F"/>
    <w:rsid w:val="002D4226"/>
    <w:rsid w:val="002D6312"/>
    <w:rsid w:val="002D6725"/>
    <w:rsid w:val="002D7CEE"/>
    <w:rsid w:val="002E0646"/>
    <w:rsid w:val="002E0CBD"/>
    <w:rsid w:val="002E0EAC"/>
    <w:rsid w:val="002E1EE2"/>
    <w:rsid w:val="002E38A4"/>
    <w:rsid w:val="002F3585"/>
    <w:rsid w:val="002F3FE0"/>
    <w:rsid w:val="00306737"/>
    <w:rsid w:val="00306CC4"/>
    <w:rsid w:val="00307BED"/>
    <w:rsid w:val="00311749"/>
    <w:rsid w:val="00313CA5"/>
    <w:rsid w:val="00315331"/>
    <w:rsid w:val="003179D7"/>
    <w:rsid w:val="00320930"/>
    <w:rsid w:val="00323A04"/>
    <w:rsid w:val="00332321"/>
    <w:rsid w:val="003326AB"/>
    <w:rsid w:val="003335B5"/>
    <w:rsid w:val="00333834"/>
    <w:rsid w:val="003420ED"/>
    <w:rsid w:val="00342A10"/>
    <w:rsid w:val="003455FA"/>
    <w:rsid w:val="00351C75"/>
    <w:rsid w:val="00351D29"/>
    <w:rsid w:val="003521DA"/>
    <w:rsid w:val="00354C02"/>
    <w:rsid w:val="00360B70"/>
    <w:rsid w:val="0036103D"/>
    <w:rsid w:val="003644DD"/>
    <w:rsid w:val="003656A2"/>
    <w:rsid w:val="00367A65"/>
    <w:rsid w:val="003717B7"/>
    <w:rsid w:val="00375246"/>
    <w:rsid w:val="00381E93"/>
    <w:rsid w:val="003858C4"/>
    <w:rsid w:val="00392E41"/>
    <w:rsid w:val="00397373"/>
    <w:rsid w:val="00397AC4"/>
    <w:rsid w:val="003A1A95"/>
    <w:rsid w:val="003A5004"/>
    <w:rsid w:val="003C7F7A"/>
    <w:rsid w:val="003D0FD8"/>
    <w:rsid w:val="003D10DD"/>
    <w:rsid w:val="003D440E"/>
    <w:rsid w:val="003E03B4"/>
    <w:rsid w:val="003E17CA"/>
    <w:rsid w:val="003E2AC6"/>
    <w:rsid w:val="003E3F93"/>
    <w:rsid w:val="003E44CB"/>
    <w:rsid w:val="003F186D"/>
    <w:rsid w:val="003F2AC6"/>
    <w:rsid w:val="003F7142"/>
    <w:rsid w:val="004007B2"/>
    <w:rsid w:val="00402683"/>
    <w:rsid w:val="0040277D"/>
    <w:rsid w:val="00402E75"/>
    <w:rsid w:val="004032DB"/>
    <w:rsid w:val="00403E8E"/>
    <w:rsid w:val="00405BB1"/>
    <w:rsid w:val="00406B50"/>
    <w:rsid w:val="00407C69"/>
    <w:rsid w:val="00411BC6"/>
    <w:rsid w:val="004160C6"/>
    <w:rsid w:val="00416486"/>
    <w:rsid w:val="0041749D"/>
    <w:rsid w:val="004177EF"/>
    <w:rsid w:val="004178EA"/>
    <w:rsid w:val="00421F0B"/>
    <w:rsid w:val="00427E35"/>
    <w:rsid w:val="00432922"/>
    <w:rsid w:val="00433E7B"/>
    <w:rsid w:val="004364C2"/>
    <w:rsid w:val="0044522D"/>
    <w:rsid w:val="00445B79"/>
    <w:rsid w:val="00452A63"/>
    <w:rsid w:val="0045355B"/>
    <w:rsid w:val="00461407"/>
    <w:rsid w:val="0046222F"/>
    <w:rsid w:val="00466345"/>
    <w:rsid w:val="0047053C"/>
    <w:rsid w:val="00472AF6"/>
    <w:rsid w:val="00477A19"/>
    <w:rsid w:val="004804EE"/>
    <w:rsid w:val="00481D54"/>
    <w:rsid w:val="00481F68"/>
    <w:rsid w:val="004822EF"/>
    <w:rsid w:val="00485ADD"/>
    <w:rsid w:val="00485EC6"/>
    <w:rsid w:val="00486C3C"/>
    <w:rsid w:val="004872A9"/>
    <w:rsid w:val="00487796"/>
    <w:rsid w:val="00490542"/>
    <w:rsid w:val="0049493C"/>
    <w:rsid w:val="00494B9E"/>
    <w:rsid w:val="00495D23"/>
    <w:rsid w:val="00496C57"/>
    <w:rsid w:val="004A27FD"/>
    <w:rsid w:val="004A3393"/>
    <w:rsid w:val="004A43CF"/>
    <w:rsid w:val="004A4999"/>
    <w:rsid w:val="004A70FE"/>
    <w:rsid w:val="004A7FB5"/>
    <w:rsid w:val="004B1E06"/>
    <w:rsid w:val="004B447F"/>
    <w:rsid w:val="004B4D4C"/>
    <w:rsid w:val="004B60BF"/>
    <w:rsid w:val="004C0429"/>
    <w:rsid w:val="004C2231"/>
    <w:rsid w:val="004C30CA"/>
    <w:rsid w:val="004C5F76"/>
    <w:rsid w:val="004C71B4"/>
    <w:rsid w:val="004D0ACC"/>
    <w:rsid w:val="004D6962"/>
    <w:rsid w:val="004D7738"/>
    <w:rsid w:val="004D783D"/>
    <w:rsid w:val="004D7A07"/>
    <w:rsid w:val="004E0986"/>
    <w:rsid w:val="004E0F06"/>
    <w:rsid w:val="004E1F08"/>
    <w:rsid w:val="004E4447"/>
    <w:rsid w:val="004E5677"/>
    <w:rsid w:val="004F0108"/>
    <w:rsid w:val="004F4246"/>
    <w:rsid w:val="004F4F2B"/>
    <w:rsid w:val="004F573B"/>
    <w:rsid w:val="004F57D9"/>
    <w:rsid w:val="004F6F17"/>
    <w:rsid w:val="004F776F"/>
    <w:rsid w:val="004F77CA"/>
    <w:rsid w:val="004F7F79"/>
    <w:rsid w:val="005020CB"/>
    <w:rsid w:val="00504B29"/>
    <w:rsid w:val="0050723D"/>
    <w:rsid w:val="005074E6"/>
    <w:rsid w:val="00512041"/>
    <w:rsid w:val="005126F4"/>
    <w:rsid w:val="005145C1"/>
    <w:rsid w:val="00515A6C"/>
    <w:rsid w:val="00516270"/>
    <w:rsid w:val="00520F39"/>
    <w:rsid w:val="0052293E"/>
    <w:rsid w:val="005235AE"/>
    <w:rsid w:val="00523EA1"/>
    <w:rsid w:val="005359DB"/>
    <w:rsid w:val="005370F4"/>
    <w:rsid w:val="005439B0"/>
    <w:rsid w:val="00543FC8"/>
    <w:rsid w:val="005448A1"/>
    <w:rsid w:val="00547758"/>
    <w:rsid w:val="005506AB"/>
    <w:rsid w:val="00550BD8"/>
    <w:rsid w:val="00550D0F"/>
    <w:rsid w:val="005543A0"/>
    <w:rsid w:val="005574A7"/>
    <w:rsid w:val="00557C3D"/>
    <w:rsid w:val="00562254"/>
    <w:rsid w:val="005662A6"/>
    <w:rsid w:val="00566F44"/>
    <w:rsid w:val="00572E54"/>
    <w:rsid w:val="005749AB"/>
    <w:rsid w:val="0057554D"/>
    <w:rsid w:val="00581E93"/>
    <w:rsid w:val="005900FB"/>
    <w:rsid w:val="00591167"/>
    <w:rsid w:val="0059219F"/>
    <w:rsid w:val="00597967"/>
    <w:rsid w:val="005A152F"/>
    <w:rsid w:val="005A2D54"/>
    <w:rsid w:val="005B6DF3"/>
    <w:rsid w:val="005B7ABE"/>
    <w:rsid w:val="005C00F8"/>
    <w:rsid w:val="005C07F7"/>
    <w:rsid w:val="005C127E"/>
    <w:rsid w:val="005C1A12"/>
    <w:rsid w:val="005C37C9"/>
    <w:rsid w:val="005C7A1D"/>
    <w:rsid w:val="005D009E"/>
    <w:rsid w:val="005D2410"/>
    <w:rsid w:val="005D5021"/>
    <w:rsid w:val="005E0E3A"/>
    <w:rsid w:val="005E0F6C"/>
    <w:rsid w:val="005E19A0"/>
    <w:rsid w:val="005E48A2"/>
    <w:rsid w:val="005E73C3"/>
    <w:rsid w:val="005F2A9B"/>
    <w:rsid w:val="005F3841"/>
    <w:rsid w:val="005F551F"/>
    <w:rsid w:val="005F5D0F"/>
    <w:rsid w:val="00601D6A"/>
    <w:rsid w:val="0060221B"/>
    <w:rsid w:val="00603110"/>
    <w:rsid w:val="00605CCB"/>
    <w:rsid w:val="00610496"/>
    <w:rsid w:val="006122B0"/>
    <w:rsid w:val="006130FA"/>
    <w:rsid w:val="00620B2E"/>
    <w:rsid w:val="00620E10"/>
    <w:rsid w:val="006264BC"/>
    <w:rsid w:val="00630E40"/>
    <w:rsid w:val="006316A6"/>
    <w:rsid w:val="0063217F"/>
    <w:rsid w:val="00634B98"/>
    <w:rsid w:val="00635543"/>
    <w:rsid w:val="00635548"/>
    <w:rsid w:val="006359BE"/>
    <w:rsid w:val="006376D5"/>
    <w:rsid w:val="00641755"/>
    <w:rsid w:val="00650A28"/>
    <w:rsid w:val="00652B39"/>
    <w:rsid w:val="006547C1"/>
    <w:rsid w:val="00655D1D"/>
    <w:rsid w:val="00662915"/>
    <w:rsid w:val="00662A51"/>
    <w:rsid w:val="00662FF1"/>
    <w:rsid w:val="006764D4"/>
    <w:rsid w:val="006768A1"/>
    <w:rsid w:val="00682FCA"/>
    <w:rsid w:val="0068396E"/>
    <w:rsid w:val="00684EAE"/>
    <w:rsid w:val="00690BD9"/>
    <w:rsid w:val="006924FF"/>
    <w:rsid w:val="00692BDB"/>
    <w:rsid w:val="00695625"/>
    <w:rsid w:val="00697D89"/>
    <w:rsid w:val="006A1C9D"/>
    <w:rsid w:val="006A33EC"/>
    <w:rsid w:val="006A7694"/>
    <w:rsid w:val="006B6621"/>
    <w:rsid w:val="006C156F"/>
    <w:rsid w:val="006C5651"/>
    <w:rsid w:val="006C7697"/>
    <w:rsid w:val="006D32AF"/>
    <w:rsid w:val="006D38B5"/>
    <w:rsid w:val="006D4087"/>
    <w:rsid w:val="006D4F7E"/>
    <w:rsid w:val="006E0922"/>
    <w:rsid w:val="006E4A49"/>
    <w:rsid w:val="006F50CC"/>
    <w:rsid w:val="00700EE4"/>
    <w:rsid w:val="00701AE8"/>
    <w:rsid w:val="00702F0A"/>
    <w:rsid w:val="0070523D"/>
    <w:rsid w:val="00705F10"/>
    <w:rsid w:val="00713123"/>
    <w:rsid w:val="00715AFE"/>
    <w:rsid w:val="00722691"/>
    <w:rsid w:val="007268EF"/>
    <w:rsid w:val="00727871"/>
    <w:rsid w:val="007307B8"/>
    <w:rsid w:val="00730F23"/>
    <w:rsid w:val="00734A4A"/>
    <w:rsid w:val="00736C91"/>
    <w:rsid w:val="00737364"/>
    <w:rsid w:val="00744B67"/>
    <w:rsid w:val="007458F3"/>
    <w:rsid w:val="007466FC"/>
    <w:rsid w:val="00747751"/>
    <w:rsid w:val="007523FE"/>
    <w:rsid w:val="00755441"/>
    <w:rsid w:val="00760277"/>
    <w:rsid w:val="00763C52"/>
    <w:rsid w:val="00764C96"/>
    <w:rsid w:val="00770FF9"/>
    <w:rsid w:val="007712A3"/>
    <w:rsid w:val="00780670"/>
    <w:rsid w:val="00781DC7"/>
    <w:rsid w:val="007820D8"/>
    <w:rsid w:val="0078468F"/>
    <w:rsid w:val="007904F2"/>
    <w:rsid w:val="007921A6"/>
    <w:rsid w:val="00792401"/>
    <w:rsid w:val="0079270A"/>
    <w:rsid w:val="007A05BF"/>
    <w:rsid w:val="007A1BFB"/>
    <w:rsid w:val="007A2BE7"/>
    <w:rsid w:val="007A69A4"/>
    <w:rsid w:val="007B0AE5"/>
    <w:rsid w:val="007B3392"/>
    <w:rsid w:val="007B5959"/>
    <w:rsid w:val="007B6B0F"/>
    <w:rsid w:val="007D23A9"/>
    <w:rsid w:val="007D45C7"/>
    <w:rsid w:val="007D5E2C"/>
    <w:rsid w:val="007E1AA2"/>
    <w:rsid w:val="007E26F9"/>
    <w:rsid w:val="007E285A"/>
    <w:rsid w:val="007E461A"/>
    <w:rsid w:val="007E4B51"/>
    <w:rsid w:val="007E4DB6"/>
    <w:rsid w:val="007F1A48"/>
    <w:rsid w:val="007F20D5"/>
    <w:rsid w:val="007F5A08"/>
    <w:rsid w:val="007F5FEC"/>
    <w:rsid w:val="007F6F02"/>
    <w:rsid w:val="007F7539"/>
    <w:rsid w:val="00802AD3"/>
    <w:rsid w:val="0080492E"/>
    <w:rsid w:val="00805861"/>
    <w:rsid w:val="00820A0A"/>
    <w:rsid w:val="00821794"/>
    <w:rsid w:val="008224C3"/>
    <w:rsid w:val="0082483F"/>
    <w:rsid w:val="0083155D"/>
    <w:rsid w:val="008318B2"/>
    <w:rsid w:val="0083213C"/>
    <w:rsid w:val="00832FD2"/>
    <w:rsid w:val="00833ADF"/>
    <w:rsid w:val="00834467"/>
    <w:rsid w:val="00835FD6"/>
    <w:rsid w:val="0083686F"/>
    <w:rsid w:val="008368DE"/>
    <w:rsid w:val="00836BFE"/>
    <w:rsid w:val="00842199"/>
    <w:rsid w:val="008456C9"/>
    <w:rsid w:val="00845FC1"/>
    <w:rsid w:val="00852E8D"/>
    <w:rsid w:val="00853AA0"/>
    <w:rsid w:val="008748A9"/>
    <w:rsid w:val="00875820"/>
    <w:rsid w:val="008768A1"/>
    <w:rsid w:val="00880357"/>
    <w:rsid w:val="008812C0"/>
    <w:rsid w:val="0088420D"/>
    <w:rsid w:val="008876CA"/>
    <w:rsid w:val="00887957"/>
    <w:rsid w:val="00887E76"/>
    <w:rsid w:val="00890566"/>
    <w:rsid w:val="00896AB4"/>
    <w:rsid w:val="00896DD1"/>
    <w:rsid w:val="008A253D"/>
    <w:rsid w:val="008A44F8"/>
    <w:rsid w:val="008A6353"/>
    <w:rsid w:val="008B04D3"/>
    <w:rsid w:val="008B20CC"/>
    <w:rsid w:val="008B2732"/>
    <w:rsid w:val="008B2F81"/>
    <w:rsid w:val="008B38CE"/>
    <w:rsid w:val="008B418E"/>
    <w:rsid w:val="008B4630"/>
    <w:rsid w:val="008C2CEF"/>
    <w:rsid w:val="008C41D8"/>
    <w:rsid w:val="008D3FB1"/>
    <w:rsid w:val="008D4984"/>
    <w:rsid w:val="008D51D7"/>
    <w:rsid w:val="008D7F97"/>
    <w:rsid w:val="008E0E17"/>
    <w:rsid w:val="008E1FFA"/>
    <w:rsid w:val="008E2E29"/>
    <w:rsid w:val="008E4369"/>
    <w:rsid w:val="008E777A"/>
    <w:rsid w:val="008E7B65"/>
    <w:rsid w:val="00902249"/>
    <w:rsid w:val="009028DA"/>
    <w:rsid w:val="00903426"/>
    <w:rsid w:val="00904C84"/>
    <w:rsid w:val="0091178F"/>
    <w:rsid w:val="00911CAA"/>
    <w:rsid w:val="00916A9A"/>
    <w:rsid w:val="009218AE"/>
    <w:rsid w:val="00927323"/>
    <w:rsid w:val="0092744D"/>
    <w:rsid w:val="00935A34"/>
    <w:rsid w:val="009368FA"/>
    <w:rsid w:val="00943682"/>
    <w:rsid w:val="00945D58"/>
    <w:rsid w:val="009466FE"/>
    <w:rsid w:val="009520EB"/>
    <w:rsid w:val="009534CA"/>
    <w:rsid w:val="00953CD9"/>
    <w:rsid w:val="00957778"/>
    <w:rsid w:val="00961713"/>
    <w:rsid w:val="0096347F"/>
    <w:rsid w:val="00975A4A"/>
    <w:rsid w:val="00977479"/>
    <w:rsid w:val="0098274A"/>
    <w:rsid w:val="00983768"/>
    <w:rsid w:val="009852D7"/>
    <w:rsid w:val="009870EC"/>
    <w:rsid w:val="0099137A"/>
    <w:rsid w:val="00991BE0"/>
    <w:rsid w:val="009938ED"/>
    <w:rsid w:val="00993EDE"/>
    <w:rsid w:val="009940D8"/>
    <w:rsid w:val="00994D1B"/>
    <w:rsid w:val="009A1CBD"/>
    <w:rsid w:val="009A4FFD"/>
    <w:rsid w:val="009A5029"/>
    <w:rsid w:val="009B149D"/>
    <w:rsid w:val="009B4F25"/>
    <w:rsid w:val="009B5133"/>
    <w:rsid w:val="009B5AFA"/>
    <w:rsid w:val="009C271A"/>
    <w:rsid w:val="009C5021"/>
    <w:rsid w:val="009C5292"/>
    <w:rsid w:val="009D0F82"/>
    <w:rsid w:val="009D10A9"/>
    <w:rsid w:val="009D13BA"/>
    <w:rsid w:val="009D1C67"/>
    <w:rsid w:val="009D21C5"/>
    <w:rsid w:val="009D39C5"/>
    <w:rsid w:val="009D4554"/>
    <w:rsid w:val="009D64A7"/>
    <w:rsid w:val="009D7BB8"/>
    <w:rsid w:val="009E147C"/>
    <w:rsid w:val="009F0614"/>
    <w:rsid w:val="009F3C9C"/>
    <w:rsid w:val="009F6070"/>
    <w:rsid w:val="009F7CF3"/>
    <w:rsid w:val="00A03673"/>
    <w:rsid w:val="00A07990"/>
    <w:rsid w:val="00A1047D"/>
    <w:rsid w:val="00A12FC9"/>
    <w:rsid w:val="00A17BA4"/>
    <w:rsid w:val="00A20404"/>
    <w:rsid w:val="00A22B31"/>
    <w:rsid w:val="00A255DD"/>
    <w:rsid w:val="00A32F7A"/>
    <w:rsid w:val="00A35565"/>
    <w:rsid w:val="00A35F5C"/>
    <w:rsid w:val="00A37938"/>
    <w:rsid w:val="00A3796D"/>
    <w:rsid w:val="00A37C78"/>
    <w:rsid w:val="00A406DE"/>
    <w:rsid w:val="00A42EA7"/>
    <w:rsid w:val="00A469DF"/>
    <w:rsid w:val="00A616D4"/>
    <w:rsid w:val="00A62635"/>
    <w:rsid w:val="00A66050"/>
    <w:rsid w:val="00A75421"/>
    <w:rsid w:val="00A80AFA"/>
    <w:rsid w:val="00A82227"/>
    <w:rsid w:val="00A9176B"/>
    <w:rsid w:val="00A95576"/>
    <w:rsid w:val="00A95CCF"/>
    <w:rsid w:val="00AA0D39"/>
    <w:rsid w:val="00AA1780"/>
    <w:rsid w:val="00AA19E3"/>
    <w:rsid w:val="00AA402A"/>
    <w:rsid w:val="00AA4055"/>
    <w:rsid w:val="00AA42E4"/>
    <w:rsid w:val="00AA4DAC"/>
    <w:rsid w:val="00AA7000"/>
    <w:rsid w:val="00AA75FC"/>
    <w:rsid w:val="00AB05B0"/>
    <w:rsid w:val="00AC0759"/>
    <w:rsid w:val="00AC1E17"/>
    <w:rsid w:val="00AC28B3"/>
    <w:rsid w:val="00AC5C3E"/>
    <w:rsid w:val="00AC7BB5"/>
    <w:rsid w:val="00AD005C"/>
    <w:rsid w:val="00AD0E35"/>
    <w:rsid w:val="00AD432B"/>
    <w:rsid w:val="00AE0296"/>
    <w:rsid w:val="00AE3645"/>
    <w:rsid w:val="00AE650F"/>
    <w:rsid w:val="00AF789C"/>
    <w:rsid w:val="00B02486"/>
    <w:rsid w:val="00B14B04"/>
    <w:rsid w:val="00B15DD3"/>
    <w:rsid w:val="00B172E8"/>
    <w:rsid w:val="00B201BA"/>
    <w:rsid w:val="00B20F07"/>
    <w:rsid w:val="00B22F29"/>
    <w:rsid w:val="00B30AC3"/>
    <w:rsid w:val="00B33D57"/>
    <w:rsid w:val="00B37378"/>
    <w:rsid w:val="00B374FB"/>
    <w:rsid w:val="00B37A4D"/>
    <w:rsid w:val="00B37A8F"/>
    <w:rsid w:val="00B4258B"/>
    <w:rsid w:val="00B4331B"/>
    <w:rsid w:val="00B43CE9"/>
    <w:rsid w:val="00B45C31"/>
    <w:rsid w:val="00B52092"/>
    <w:rsid w:val="00B5299F"/>
    <w:rsid w:val="00B52BE6"/>
    <w:rsid w:val="00B53FED"/>
    <w:rsid w:val="00B543CE"/>
    <w:rsid w:val="00B54571"/>
    <w:rsid w:val="00B57CD9"/>
    <w:rsid w:val="00B6187E"/>
    <w:rsid w:val="00B62672"/>
    <w:rsid w:val="00B63F8D"/>
    <w:rsid w:val="00B678BA"/>
    <w:rsid w:val="00B70BE0"/>
    <w:rsid w:val="00B70EC8"/>
    <w:rsid w:val="00B70ED7"/>
    <w:rsid w:val="00B71004"/>
    <w:rsid w:val="00B73682"/>
    <w:rsid w:val="00B76E55"/>
    <w:rsid w:val="00B81EDF"/>
    <w:rsid w:val="00B835DF"/>
    <w:rsid w:val="00B8558C"/>
    <w:rsid w:val="00B85937"/>
    <w:rsid w:val="00B87C70"/>
    <w:rsid w:val="00B90E18"/>
    <w:rsid w:val="00B93414"/>
    <w:rsid w:val="00BA1264"/>
    <w:rsid w:val="00BA2E5D"/>
    <w:rsid w:val="00BA5274"/>
    <w:rsid w:val="00BB21FB"/>
    <w:rsid w:val="00BB3689"/>
    <w:rsid w:val="00BB61AD"/>
    <w:rsid w:val="00BC7060"/>
    <w:rsid w:val="00BD0FD0"/>
    <w:rsid w:val="00BD2435"/>
    <w:rsid w:val="00BD274D"/>
    <w:rsid w:val="00BE0A55"/>
    <w:rsid w:val="00BE1498"/>
    <w:rsid w:val="00BE1AFB"/>
    <w:rsid w:val="00BE5F82"/>
    <w:rsid w:val="00BE70B1"/>
    <w:rsid w:val="00BF08B5"/>
    <w:rsid w:val="00BF7674"/>
    <w:rsid w:val="00C0315F"/>
    <w:rsid w:val="00C06B59"/>
    <w:rsid w:val="00C13D3E"/>
    <w:rsid w:val="00C246DF"/>
    <w:rsid w:val="00C303DF"/>
    <w:rsid w:val="00C31511"/>
    <w:rsid w:val="00C33B3E"/>
    <w:rsid w:val="00C359E5"/>
    <w:rsid w:val="00C37E6B"/>
    <w:rsid w:val="00C42E31"/>
    <w:rsid w:val="00C443FA"/>
    <w:rsid w:val="00C44CBA"/>
    <w:rsid w:val="00C5053E"/>
    <w:rsid w:val="00C50B15"/>
    <w:rsid w:val="00C52DF0"/>
    <w:rsid w:val="00C53C48"/>
    <w:rsid w:val="00C62B3C"/>
    <w:rsid w:val="00C63B24"/>
    <w:rsid w:val="00C644E4"/>
    <w:rsid w:val="00C65E61"/>
    <w:rsid w:val="00C70193"/>
    <w:rsid w:val="00C70AFA"/>
    <w:rsid w:val="00C71846"/>
    <w:rsid w:val="00C72166"/>
    <w:rsid w:val="00C73B51"/>
    <w:rsid w:val="00C73E28"/>
    <w:rsid w:val="00C7419C"/>
    <w:rsid w:val="00C75B12"/>
    <w:rsid w:val="00C7632E"/>
    <w:rsid w:val="00C8226D"/>
    <w:rsid w:val="00C8592D"/>
    <w:rsid w:val="00C85F3C"/>
    <w:rsid w:val="00C876F3"/>
    <w:rsid w:val="00C92D7A"/>
    <w:rsid w:val="00C92E39"/>
    <w:rsid w:val="00C94BBD"/>
    <w:rsid w:val="00CA121A"/>
    <w:rsid w:val="00CA3F49"/>
    <w:rsid w:val="00CA496B"/>
    <w:rsid w:val="00CA587C"/>
    <w:rsid w:val="00CA6E84"/>
    <w:rsid w:val="00CB414F"/>
    <w:rsid w:val="00CB7821"/>
    <w:rsid w:val="00CC0597"/>
    <w:rsid w:val="00CC11A1"/>
    <w:rsid w:val="00CC1E05"/>
    <w:rsid w:val="00CC5B36"/>
    <w:rsid w:val="00CC7A78"/>
    <w:rsid w:val="00CD4B9E"/>
    <w:rsid w:val="00CD510D"/>
    <w:rsid w:val="00CD7E7E"/>
    <w:rsid w:val="00CE2CB9"/>
    <w:rsid w:val="00CE311F"/>
    <w:rsid w:val="00CE37F1"/>
    <w:rsid w:val="00CE3EAD"/>
    <w:rsid w:val="00CE58A3"/>
    <w:rsid w:val="00CE5E20"/>
    <w:rsid w:val="00CF52F7"/>
    <w:rsid w:val="00D008FB"/>
    <w:rsid w:val="00D04A69"/>
    <w:rsid w:val="00D110B9"/>
    <w:rsid w:val="00D11EF3"/>
    <w:rsid w:val="00D12285"/>
    <w:rsid w:val="00D12949"/>
    <w:rsid w:val="00D13729"/>
    <w:rsid w:val="00D15279"/>
    <w:rsid w:val="00D15290"/>
    <w:rsid w:val="00D2042F"/>
    <w:rsid w:val="00D26E36"/>
    <w:rsid w:val="00D27448"/>
    <w:rsid w:val="00D3129A"/>
    <w:rsid w:val="00D323C5"/>
    <w:rsid w:val="00D3653E"/>
    <w:rsid w:val="00D4620F"/>
    <w:rsid w:val="00D47566"/>
    <w:rsid w:val="00D54256"/>
    <w:rsid w:val="00D54BCD"/>
    <w:rsid w:val="00D5543F"/>
    <w:rsid w:val="00D556E8"/>
    <w:rsid w:val="00D55B40"/>
    <w:rsid w:val="00D67E70"/>
    <w:rsid w:val="00D67FF4"/>
    <w:rsid w:val="00D74A23"/>
    <w:rsid w:val="00D75498"/>
    <w:rsid w:val="00D80CE7"/>
    <w:rsid w:val="00D82A02"/>
    <w:rsid w:val="00D82BEE"/>
    <w:rsid w:val="00D832E5"/>
    <w:rsid w:val="00D839EF"/>
    <w:rsid w:val="00D8527A"/>
    <w:rsid w:val="00D85669"/>
    <w:rsid w:val="00D90A2B"/>
    <w:rsid w:val="00D93EB1"/>
    <w:rsid w:val="00D95F05"/>
    <w:rsid w:val="00D979A2"/>
    <w:rsid w:val="00DA0F13"/>
    <w:rsid w:val="00DA16B5"/>
    <w:rsid w:val="00DA1A9A"/>
    <w:rsid w:val="00DA1FA6"/>
    <w:rsid w:val="00DA3C9C"/>
    <w:rsid w:val="00DB04B6"/>
    <w:rsid w:val="00DB3206"/>
    <w:rsid w:val="00DB45EA"/>
    <w:rsid w:val="00DB4745"/>
    <w:rsid w:val="00DB79B0"/>
    <w:rsid w:val="00DB7F09"/>
    <w:rsid w:val="00DC0F39"/>
    <w:rsid w:val="00DC10F3"/>
    <w:rsid w:val="00DC3A7F"/>
    <w:rsid w:val="00DC5293"/>
    <w:rsid w:val="00DC60ED"/>
    <w:rsid w:val="00DC66D3"/>
    <w:rsid w:val="00DD0360"/>
    <w:rsid w:val="00DD2757"/>
    <w:rsid w:val="00DD295D"/>
    <w:rsid w:val="00DD4B29"/>
    <w:rsid w:val="00DD57A4"/>
    <w:rsid w:val="00DD7637"/>
    <w:rsid w:val="00DE0516"/>
    <w:rsid w:val="00DE09CE"/>
    <w:rsid w:val="00DE6152"/>
    <w:rsid w:val="00DE72F0"/>
    <w:rsid w:val="00DF0A6D"/>
    <w:rsid w:val="00DF2856"/>
    <w:rsid w:val="00DF6301"/>
    <w:rsid w:val="00DF7E00"/>
    <w:rsid w:val="00E01599"/>
    <w:rsid w:val="00E02C8B"/>
    <w:rsid w:val="00E03D92"/>
    <w:rsid w:val="00E050BF"/>
    <w:rsid w:val="00E102A1"/>
    <w:rsid w:val="00E10611"/>
    <w:rsid w:val="00E151C2"/>
    <w:rsid w:val="00E22F67"/>
    <w:rsid w:val="00E341F1"/>
    <w:rsid w:val="00E35496"/>
    <w:rsid w:val="00E35B3F"/>
    <w:rsid w:val="00E36611"/>
    <w:rsid w:val="00E36A53"/>
    <w:rsid w:val="00E41ACD"/>
    <w:rsid w:val="00E43643"/>
    <w:rsid w:val="00E46039"/>
    <w:rsid w:val="00E51150"/>
    <w:rsid w:val="00E51F29"/>
    <w:rsid w:val="00E56580"/>
    <w:rsid w:val="00E60635"/>
    <w:rsid w:val="00E6229B"/>
    <w:rsid w:val="00E631AA"/>
    <w:rsid w:val="00E71964"/>
    <w:rsid w:val="00E72700"/>
    <w:rsid w:val="00E76F0F"/>
    <w:rsid w:val="00E77D91"/>
    <w:rsid w:val="00E805EF"/>
    <w:rsid w:val="00E81835"/>
    <w:rsid w:val="00E82A23"/>
    <w:rsid w:val="00E83E18"/>
    <w:rsid w:val="00E85540"/>
    <w:rsid w:val="00E8699A"/>
    <w:rsid w:val="00E878CB"/>
    <w:rsid w:val="00E910FC"/>
    <w:rsid w:val="00E92059"/>
    <w:rsid w:val="00E94431"/>
    <w:rsid w:val="00EA012E"/>
    <w:rsid w:val="00EA0DD6"/>
    <w:rsid w:val="00EA140E"/>
    <w:rsid w:val="00EA28B2"/>
    <w:rsid w:val="00EA4055"/>
    <w:rsid w:val="00EA5569"/>
    <w:rsid w:val="00EB2382"/>
    <w:rsid w:val="00EB2456"/>
    <w:rsid w:val="00EB34FA"/>
    <w:rsid w:val="00EB6025"/>
    <w:rsid w:val="00EB6500"/>
    <w:rsid w:val="00EC505D"/>
    <w:rsid w:val="00ED0997"/>
    <w:rsid w:val="00ED4DFF"/>
    <w:rsid w:val="00ED6981"/>
    <w:rsid w:val="00ED7BAB"/>
    <w:rsid w:val="00EE3349"/>
    <w:rsid w:val="00EE3CB8"/>
    <w:rsid w:val="00EE4225"/>
    <w:rsid w:val="00EF01AF"/>
    <w:rsid w:val="00EF19E6"/>
    <w:rsid w:val="00EF2CA2"/>
    <w:rsid w:val="00EF38A8"/>
    <w:rsid w:val="00EF7170"/>
    <w:rsid w:val="00EF7387"/>
    <w:rsid w:val="00EF7BE9"/>
    <w:rsid w:val="00F0742D"/>
    <w:rsid w:val="00F10343"/>
    <w:rsid w:val="00F13D57"/>
    <w:rsid w:val="00F13E2D"/>
    <w:rsid w:val="00F14CCD"/>
    <w:rsid w:val="00F21DD5"/>
    <w:rsid w:val="00F22C47"/>
    <w:rsid w:val="00F25E69"/>
    <w:rsid w:val="00F27C27"/>
    <w:rsid w:val="00F309D0"/>
    <w:rsid w:val="00F32CF4"/>
    <w:rsid w:val="00F365F8"/>
    <w:rsid w:val="00F41358"/>
    <w:rsid w:val="00F422A6"/>
    <w:rsid w:val="00F43297"/>
    <w:rsid w:val="00F4466E"/>
    <w:rsid w:val="00F44E55"/>
    <w:rsid w:val="00F507E8"/>
    <w:rsid w:val="00F51410"/>
    <w:rsid w:val="00F51DA3"/>
    <w:rsid w:val="00F53517"/>
    <w:rsid w:val="00F54389"/>
    <w:rsid w:val="00F60549"/>
    <w:rsid w:val="00F61EE0"/>
    <w:rsid w:val="00F6266D"/>
    <w:rsid w:val="00F65E8C"/>
    <w:rsid w:val="00F672CC"/>
    <w:rsid w:val="00F675A7"/>
    <w:rsid w:val="00F77C3B"/>
    <w:rsid w:val="00F8449A"/>
    <w:rsid w:val="00F935E1"/>
    <w:rsid w:val="00F95997"/>
    <w:rsid w:val="00F9758F"/>
    <w:rsid w:val="00FA0D13"/>
    <w:rsid w:val="00FA5CC6"/>
    <w:rsid w:val="00FB176C"/>
    <w:rsid w:val="00FB17C8"/>
    <w:rsid w:val="00FB2F68"/>
    <w:rsid w:val="00FB3D46"/>
    <w:rsid w:val="00FC484F"/>
    <w:rsid w:val="00FC550D"/>
    <w:rsid w:val="00FC5D6C"/>
    <w:rsid w:val="00FC5E80"/>
    <w:rsid w:val="00FD6606"/>
    <w:rsid w:val="00FD745E"/>
    <w:rsid w:val="00FD7754"/>
    <w:rsid w:val="00FE066E"/>
    <w:rsid w:val="00FE77E3"/>
    <w:rsid w:val="00FE7F7B"/>
    <w:rsid w:val="00FF1B79"/>
    <w:rsid w:val="00FF5099"/>
    <w:rsid w:val="00FF53E6"/>
    <w:rsid w:val="00FF677C"/>
    <w:rsid w:val="00FF784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72"/>
    <w:rPr>
      <w:sz w:val="24"/>
      <w:szCs w:val="24"/>
    </w:rPr>
  </w:style>
  <w:style w:type="paragraph" w:styleId="Heading2">
    <w:name w:val="heading 2"/>
    <w:basedOn w:val="Normal"/>
    <w:next w:val="Normal"/>
    <w:link w:val="Heading2Char"/>
    <w:uiPriority w:val="99"/>
    <w:qFormat/>
    <w:rsid w:val="00FE066E"/>
    <w:pPr>
      <w:keepNext/>
      <w:outlineLvl w:val="1"/>
    </w:pPr>
    <w:rPr>
      <w:b/>
      <w:bCs/>
      <w:sz w:val="23"/>
      <w:szCs w:val="23"/>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4CEF"/>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DB45EA"/>
    <w:pPr>
      <w:tabs>
        <w:tab w:val="center" w:pos="4153"/>
        <w:tab w:val="right" w:pos="8306"/>
      </w:tabs>
    </w:pPr>
    <w:rPr>
      <w:lang w:eastAsia="en-US"/>
    </w:rPr>
  </w:style>
  <w:style w:type="character" w:customStyle="1" w:styleId="HeaderChar">
    <w:name w:val="Header Char"/>
    <w:basedOn w:val="DefaultParagraphFont"/>
    <w:link w:val="Header"/>
    <w:uiPriority w:val="99"/>
    <w:semiHidden/>
    <w:rsid w:val="00694CEF"/>
    <w:rPr>
      <w:sz w:val="24"/>
      <w:szCs w:val="24"/>
    </w:rPr>
  </w:style>
  <w:style w:type="paragraph" w:styleId="BodyText">
    <w:name w:val="Body Text"/>
    <w:basedOn w:val="Normal"/>
    <w:link w:val="BodyTextChar"/>
    <w:uiPriority w:val="99"/>
    <w:rsid w:val="00DB45EA"/>
    <w:pPr>
      <w:jc w:val="center"/>
    </w:pPr>
    <w:rPr>
      <w:b/>
      <w:bCs/>
      <w:lang w:eastAsia="en-US"/>
    </w:rPr>
  </w:style>
  <w:style w:type="character" w:customStyle="1" w:styleId="BodyTextChar">
    <w:name w:val="Body Text Char"/>
    <w:basedOn w:val="DefaultParagraphFont"/>
    <w:link w:val="BodyText"/>
    <w:uiPriority w:val="99"/>
    <w:semiHidden/>
    <w:rsid w:val="00694CEF"/>
    <w:rPr>
      <w:sz w:val="24"/>
      <w:szCs w:val="24"/>
    </w:rPr>
  </w:style>
  <w:style w:type="paragraph" w:styleId="BalloonText">
    <w:name w:val="Balloon Text"/>
    <w:basedOn w:val="Normal"/>
    <w:link w:val="BalloonTextChar"/>
    <w:uiPriority w:val="99"/>
    <w:semiHidden/>
    <w:rsid w:val="00D67E70"/>
    <w:rPr>
      <w:rFonts w:ascii="Tahoma" w:hAnsi="Tahoma" w:cs="Tahoma"/>
      <w:sz w:val="16"/>
      <w:szCs w:val="16"/>
    </w:rPr>
  </w:style>
  <w:style w:type="character" w:customStyle="1" w:styleId="BalloonTextChar">
    <w:name w:val="Balloon Text Char"/>
    <w:basedOn w:val="DefaultParagraphFont"/>
    <w:link w:val="BalloonText"/>
    <w:uiPriority w:val="99"/>
    <w:semiHidden/>
    <w:rsid w:val="00694CEF"/>
    <w:rPr>
      <w:sz w:val="0"/>
      <w:szCs w:val="0"/>
    </w:rPr>
  </w:style>
  <w:style w:type="paragraph" w:styleId="Footer">
    <w:name w:val="footer"/>
    <w:basedOn w:val="Normal"/>
    <w:link w:val="FooterChar"/>
    <w:uiPriority w:val="99"/>
    <w:rsid w:val="00FE066E"/>
    <w:pPr>
      <w:tabs>
        <w:tab w:val="center" w:pos="4153"/>
        <w:tab w:val="right" w:pos="8306"/>
      </w:tabs>
    </w:pPr>
    <w:rPr>
      <w:lang w:val="en-GB" w:eastAsia="en-US"/>
    </w:rPr>
  </w:style>
  <w:style w:type="character" w:customStyle="1" w:styleId="FooterChar">
    <w:name w:val="Footer Char"/>
    <w:basedOn w:val="DefaultParagraphFont"/>
    <w:link w:val="Footer"/>
    <w:uiPriority w:val="99"/>
    <w:locked/>
    <w:rsid w:val="00B63F8D"/>
    <w:rPr>
      <w:sz w:val="24"/>
      <w:szCs w:val="24"/>
      <w:lang w:val="en-GB" w:eastAsia="en-US"/>
    </w:rPr>
  </w:style>
  <w:style w:type="paragraph" w:styleId="Subtitle">
    <w:name w:val="Subtitle"/>
    <w:basedOn w:val="Normal"/>
    <w:link w:val="SubtitleChar"/>
    <w:uiPriority w:val="99"/>
    <w:qFormat/>
    <w:rsid w:val="00FE066E"/>
    <w:pPr>
      <w:jc w:val="center"/>
    </w:pPr>
    <w:rPr>
      <w:rFonts w:ascii="Arial" w:hAnsi="Arial" w:cs="Arial"/>
      <w:b/>
      <w:bCs/>
      <w:sz w:val="52"/>
      <w:szCs w:val="52"/>
      <w:lang w:val="en-GB" w:eastAsia="en-US"/>
    </w:rPr>
  </w:style>
  <w:style w:type="character" w:customStyle="1" w:styleId="SubtitleChar">
    <w:name w:val="Subtitle Char"/>
    <w:basedOn w:val="DefaultParagraphFont"/>
    <w:link w:val="Subtitle"/>
    <w:uiPriority w:val="11"/>
    <w:rsid w:val="00694CEF"/>
    <w:rPr>
      <w:rFonts w:asciiTheme="majorHAnsi" w:eastAsiaTheme="majorEastAsia" w:hAnsiTheme="majorHAnsi" w:cstheme="majorBidi"/>
      <w:sz w:val="24"/>
      <w:szCs w:val="24"/>
    </w:rPr>
  </w:style>
  <w:style w:type="character" w:styleId="Hyperlink">
    <w:name w:val="Hyperlink"/>
    <w:basedOn w:val="DefaultParagraphFont"/>
    <w:uiPriority w:val="99"/>
    <w:rsid w:val="006264BC"/>
    <w:rPr>
      <w:color w:val="0000FF"/>
      <w:u w:val="single"/>
    </w:rPr>
  </w:style>
  <w:style w:type="table" w:styleId="TableGrid">
    <w:name w:val="Table Grid"/>
    <w:basedOn w:val="TableNormal"/>
    <w:uiPriority w:val="99"/>
    <w:rsid w:val="00B678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C2E75"/>
  </w:style>
  <w:style w:type="paragraph" w:styleId="ListParagraph">
    <w:name w:val="List Paragraph"/>
    <w:basedOn w:val="Normal"/>
    <w:uiPriority w:val="99"/>
    <w:qFormat/>
    <w:rsid w:val="002F3585"/>
    <w:pPr>
      <w:ind w:left="720"/>
    </w:pPr>
  </w:style>
</w:styles>
</file>

<file path=word/webSettings.xml><?xml version="1.0" encoding="utf-8"?>
<w:webSettings xmlns:r="http://schemas.openxmlformats.org/officeDocument/2006/relationships" xmlns:w="http://schemas.openxmlformats.org/wordprocessingml/2006/main">
  <w:divs>
    <w:div w:id="883295785">
      <w:marLeft w:val="0"/>
      <w:marRight w:val="0"/>
      <w:marTop w:val="0"/>
      <w:marBottom w:val="0"/>
      <w:divBdr>
        <w:top w:val="none" w:sz="0" w:space="0" w:color="auto"/>
        <w:left w:val="none" w:sz="0" w:space="0" w:color="auto"/>
        <w:bottom w:val="none" w:sz="0" w:space="0" w:color="auto"/>
        <w:right w:val="none" w:sz="0" w:space="0" w:color="auto"/>
      </w:divBdr>
    </w:div>
    <w:div w:id="883295786">
      <w:marLeft w:val="0"/>
      <w:marRight w:val="0"/>
      <w:marTop w:val="0"/>
      <w:marBottom w:val="0"/>
      <w:divBdr>
        <w:top w:val="none" w:sz="0" w:space="0" w:color="auto"/>
        <w:left w:val="none" w:sz="0" w:space="0" w:color="auto"/>
        <w:bottom w:val="none" w:sz="0" w:space="0" w:color="auto"/>
        <w:right w:val="none" w:sz="0" w:space="0" w:color="auto"/>
      </w:divBdr>
    </w:div>
    <w:div w:id="883295787">
      <w:marLeft w:val="0"/>
      <w:marRight w:val="0"/>
      <w:marTop w:val="0"/>
      <w:marBottom w:val="0"/>
      <w:divBdr>
        <w:top w:val="none" w:sz="0" w:space="0" w:color="auto"/>
        <w:left w:val="none" w:sz="0" w:space="0" w:color="auto"/>
        <w:bottom w:val="none" w:sz="0" w:space="0" w:color="auto"/>
        <w:right w:val="none" w:sz="0" w:space="0" w:color="auto"/>
      </w:divBdr>
    </w:div>
    <w:div w:id="883295788">
      <w:marLeft w:val="0"/>
      <w:marRight w:val="0"/>
      <w:marTop w:val="0"/>
      <w:marBottom w:val="0"/>
      <w:divBdr>
        <w:top w:val="none" w:sz="0" w:space="0" w:color="auto"/>
        <w:left w:val="none" w:sz="0" w:space="0" w:color="auto"/>
        <w:bottom w:val="none" w:sz="0" w:space="0" w:color="auto"/>
        <w:right w:val="none" w:sz="0" w:space="0" w:color="auto"/>
      </w:divBdr>
    </w:div>
    <w:div w:id="883295789">
      <w:marLeft w:val="0"/>
      <w:marRight w:val="0"/>
      <w:marTop w:val="0"/>
      <w:marBottom w:val="0"/>
      <w:divBdr>
        <w:top w:val="none" w:sz="0" w:space="0" w:color="auto"/>
        <w:left w:val="none" w:sz="0" w:space="0" w:color="auto"/>
        <w:bottom w:val="none" w:sz="0" w:space="0" w:color="auto"/>
        <w:right w:val="none" w:sz="0" w:space="0" w:color="auto"/>
      </w:divBdr>
    </w:div>
    <w:div w:id="883295790">
      <w:marLeft w:val="0"/>
      <w:marRight w:val="0"/>
      <w:marTop w:val="0"/>
      <w:marBottom w:val="0"/>
      <w:divBdr>
        <w:top w:val="none" w:sz="0" w:space="0" w:color="auto"/>
        <w:left w:val="none" w:sz="0" w:space="0" w:color="auto"/>
        <w:bottom w:val="none" w:sz="0" w:space="0" w:color="auto"/>
        <w:right w:val="none" w:sz="0" w:space="0" w:color="auto"/>
      </w:divBdr>
    </w:div>
    <w:div w:id="883295791">
      <w:marLeft w:val="0"/>
      <w:marRight w:val="0"/>
      <w:marTop w:val="0"/>
      <w:marBottom w:val="0"/>
      <w:divBdr>
        <w:top w:val="none" w:sz="0" w:space="0" w:color="auto"/>
        <w:left w:val="none" w:sz="0" w:space="0" w:color="auto"/>
        <w:bottom w:val="none" w:sz="0" w:space="0" w:color="auto"/>
        <w:right w:val="none" w:sz="0" w:space="0" w:color="auto"/>
      </w:divBdr>
    </w:div>
    <w:div w:id="883295792">
      <w:marLeft w:val="0"/>
      <w:marRight w:val="0"/>
      <w:marTop w:val="0"/>
      <w:marBottom w:val="0"/>
      <w:divBdr>
        <w:top w:val="none" w:sz="0" w:space="0" w:color="auto"/>
        <w:left w:val="none" w:sz="0" w:space="0" w:color="auto"/>
        <w:bottom w:val="none" w:sz="0" w:space="0" w:color="auto"/>
        <w:right w:val="none" w:sz="0" w:space="0" w:color="auto"/>
      </w:divBdr>
    </w:div>
    <w:div w:id="883295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247</Words>
  <Characters>1338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Είμαστε στην ευχάριστη θέση να θέσουμε υπόψη σας τα συμπεράσματα που προέκυψαν από την εκπόνηση της μελέτης που διενήργησε το ΕΜΠ και αφορά στις περιβαλλοντικές επιπτώσεις από την απελευθέρωση της πετρελαιοκίνησης στα αστικά κέντρα των επιβατικών και ελα</dc:title>
  <dc:subject/>
  <dc:creator>user</dc:creator>
  <cp:keywords/>
  <dc:description/>
  <cp:lastModifiedBy>nypofantis</cp:lastModifiedBy>
  <cp:revision>2</cp:revision>
  <cp:lastPrinted>2015-10-09T09:39:00Z</cp:lastPrinted>
  <dcterms:created xsi:type="dcterms:W3CDTF">2015-10-12T08:50:00Z</dcterms:created>
  <dcterms:modified xsi:type="dcterms:W3CDTF">2015-10-12T08:50:00Z</dcterms:modified>
</cp:coreProperties>
</file>