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7E9" w:rsidRPr="00A00BDE" w:rsidRDefault="005D47E9" w:rsidP="005D47E9">
      <w:pPr>
        <w:rPr>
          <w:rFonts w:ascii="Times New Roman" w:hAnsi="Times New Roman" w:cs="Times New Roman"/>
        </w:rPr>
      </w:pPr>
      <w:r>
        <w:rPr>
          <w:noProof/>
          <w:lang w:eastAsia="el-GR"/>
        </w:rPr>
        <w:drawing>
          <wp:inline distT="0" distB="0" distL="0" distR="0">
            <wp:extent cx="855593" cy="731520"/>
            <wp:effectExtent l="19050" t="0" r="1657"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57821" cy="733425"/>
                    </a:xfrm>
                    <a:prstGeom prst="rect">
                      <a:avLst/>
                    </a:prstGeom>
                    <a:noFill/>
                    <a:ln w="9525">
                      <a:noFill/>
                      <a:miter lim="800000"/>
                      <a:headEnd/>
                      <a:tailEnd/>
                    </a:ln>
                  </pic:spPr>
                </pic:pic>
              </a:graphicData>
            </a:graphic>
          </wp:inline>
        </w:drawing>
      </w:r>
      <w:r w:rsidRPr="002629E7">
        <w:t xml:space="preserve">ΕΘΝΙΚΗ ΣΥΝΟΜΟΣΠΟΝΔΙΑ ΕΛΛΗΝΙΚΟΥ </w:t>
      </w:r>
      <w:r w:rsidRPr="00A00BDE">
        <w:rPr>
          <w:rFonts w:ascii="Times New Roman" w:hAnsi="Times New Roman" w:cs="Times New Roman"/>
        </w:rPr>
        <w:t>ΕΜΠΟΡΙΟΥ</w:t>
      </w:r>
    </w:p>
    <w:p w:rsidR="00FD5226" w:rsidRPr="00A00BDE" w:rsidRDefault="00BD47D0" w:rsidP="00BD47D0">
      <w:pPr>
        <w:pStyle w:val="a3"/>
        <w:ind w:left="4320" w:firstLine="720"/>
        <w:jc w:val="center"/>
        <w:rPr>
          <w:rFonts w:ascii="Times New Roman" w:hAnsi="Times New Roman" w:cs="Times New Roman"/>
          <w:sz w:val="22"/>
          <w:szCs w:val="22"/>
        </w:rPr>
      </w:pPr>
      <w:r w:rsidRPr="00A00BDE">
        <w:rPr>
          <w:rFonts w:ascii="Times New Roman" w:hAnsi="Times New Roman" w:cs="Times New Roman"/>
          <w:sz w:val="22"/>
          <w:szCs w:val="22"/>
        </w:rPr>
        <w:t xml:space="preserve">Αθήνα, </w:t>
      </w:r>
      <w:r w:rsidR="005B58DA" w:rsidRPr="00A00BDE">
        <w:rPr>
          <w:rFonts w:ascii="Times New Roman" w:hAnsi="Times New Roman" w:cs="Times New Roman"/>
          <w:sz w:val="22"/>
          <w:szCs w:val="22"/>
        </w:rPr>
        <w:t>4</w:t>
      </w:r>
      <w:r w:rsidRPr="00A00BDE">
        <w:rPr>
          <w:rFonts w:ascii="Times New Roman" w:hAnsi="Times New Roman" w:cs="Times New Roman"/>
          <w:sz w:val="22"/>
          <w:szCs w:val="22"/>
        </w:rPr>
        <w:t xml:space="preserve"> </w:t>
      </w:r>
      <w:r w:rsidR="005B58DA" w:rsidRPr="00A00BDE">
        <w:rPr>
          <w:rFonts w:ascii="Times New Roman" w:hAnsi="Times New Roman" w:cs="Times New Roman"/>
          <w:sz w:val="22"/>
          <w:szCs w:val="22"/>
        </w:rPr>
        <w:t>Σεπτεμβρίου</w:t>
      </w:r>
      <w:r w:rsidRPr="00A00BDE">
        <w:rPr>
          <w:rFonts w:ascii="Times New Roman" w:hAnsi="Times New Roman" w:cs="Times New Roman"/>
          <w:sz w:val="22"/>
          <w:szCs w:val="22"/>
        </w:rPr>
        <w:t xml:space="preserve"> 2014</w:t>
      </w:r>
    </w:p>
    <w:p w:rsidR="00BD47D0" w:rsidRPr="00A00BDE" w:rsidRDefault="00BD47D0" w:rsidP="003C5A51">
      <w:pPr>
        <w:pStyle w:val="a3"/>
        <w:jc w:val="center"/>
        <w:rPr>
          <w:rFonts w:ascii="Times New Roman" w:hAnsi="Times New Roman" w:cs="Times New Roman"/>
          <w:sz w:val="22"/>
          <w:szCs w:val="22"/>
        </w:rPr>
      </w:pPr>
    </w:p>
    <w:p w:rsidR="003C5A51" w:rsidRPr="00A00BDE" w:rsidRDefault="003C5A51" w:rsidP="003C5A51">
      <w:pPr>
        <w:pStyle w:val="a3"/>
        <w:jc w:val="center"/>
        <w:rPr>
          <w:rFonts w:ascii="Times New Roman" w:hAnsi="Times New Roman" w:cs="Times New Roman"/>
          <w:b/>
          <w:sz w:val="22"/>
          <w:szCs w:val="22"/>
        </w:rPr>
      </w:pPr>
      <w:r w:rsidRPr="00A00BDE">
        <w:rPr>
          <w:rFonts w:ascii="Times New Roman" w:hAnsi="Times New Roman" w:cs="Times New Roman"/>
          <w:b/>
          <w:sz w:val="22"/>
          <w:szCs w:val="22"/>
        </w:rPr>
        <w:t xml:space="preserve">ΔΕΛΤΙΟ ΤΥΠΟΥ </w:t>
      </w:r>
    </w:p>
    <w:p w:rsidR="00010FE8" w:rsidRPr="00A00BDE" w:rsidRDefault="00010FE8" w:rsidP="003C5A51">
      <w:pPr>
        <w:pStyle w:val="a3"/>
        <w:jc w:val="center"/>
        <w:rPr>
          <w:rFonts w:ascii="Times New Roman" w:hAnsi="Times New Roman" w:cs="Times New Roman"/>
          <w:b/>
          <w:sz w:val="22"/>
          <w:szCs w:val="22"/>
        </w:rPr>
      </w:pPr>
    </w:p>
    <w:p w:rsidR="00010FE8" w:rsidRPr="00A00BDE" w:rsidRDefault="00010FE8" w:rsidP="003C5A51">
      <w:pPr>
        <w:pStyle w:val="a3"/>
        <w:jc w:val="center"/>
        <w:rPr>
          <w:rFonts w:ascii="Times New Roman" w:hAnsi="Times New Roman" w:cs="Times New Roman"/>
          <w:b/>
          <w:sz w:val="22"/>
          <w:szCs w:val="22"/>
        </w:rPr>
      </w:pPr>
      <w:r w:rsidRPr="00A00BDE">
        <w:rPr>
          <w:rFonts w:ascii="Times New Roman" w:hAnsi="Times New Roman" w:cs="Times New Roman"/>
          <w:b/>
          <w:sz w:val="22"/>
          <w:szCs w:val="22"/>
        </w:rPr>
        <w:t>«Τα αποτελέσματα των θερινών εκπτώσεων 2014»</w:t>
      </w:r>
    </w:p>
    <w:p w:rsidR="00134491" w:rsidRPr="00A00BDE" w:rsidRDefault="00393C72" w:rsidP="00B62EE8">
      <w:pPr>
        <w:pStyle w:val="a3"/>
        <w:spacing w:before="80" w:line="360" w:lineRule="atLeast"/>
        <w:jc w:val="both"/>
        <w:rPr>
          <w:rFonts w:ascii="Times New Roman" w:hAnsi="Times New Roman" w:cs="Times New Roman"/>
          <w:sz w:val="22"/>
          <w:szCs w:val="22"/>
        </w:rPr>
      </w:pPr>
      <w:r w:rsidRPr="00A00BDE">
        <w:rPr>
          <w:rFonts w:ascii="Times New Roman" w:hAnsi="Times New Roman" w:cs="Times New Roman"/>
          <w:sz w:val="22"/>
          <w:szCs w:val="22"/>
        </w:rPr>
        <w:t xml:space="preserve">Η ΕΣΕΕ πραγματοποίησε </w:t>
      </w:r>
      <w:r w:rsidR="003C5A51" w:rsidRPr="00A00BDE">
        <w:rPr>
          <w:rFonts w:ascii="Times New Roman" w:hAnsi="Times New Roman" w:cs="Times New Roman"/>
          <w:sz w:val="22"/>
          <w:szCs w:val="22"/>
        </w:rPr>
        <w:t xml:space="preserve">την </w:t>
      </w:r>
      <w:r w:rsidRPr="00A00BDE">
        <w:rPr>
          <w:rFonts w:ascii="Times New Roman" w:hAnsi="Times New Roman" w:cs="Times New Roman"/>
          <w:sz w:val="22"/>
          <w:szCs w:val="22"/>
        </w:rPr>
        <w:t xml:space="preserve">περιοδική </w:t>
      </w:r>
      <w:r w:rsidR="003C5A51" w:rsidRPr="00A00BDE">
        <w:rPr>
          <w:rFonts w:ascii="Times New Roman" w:hAnsi="Times New Roman" w:cs="Times New Roman"/>
          <w:sz w:val="22"/>
          <w:szCs w:val="22"/>
        </w:rPr>
        <w:t xml:space="preserve">έρευνα για τις καλοκαιρινές εκπτώσεις και </w:t>
      </w:r>
      <w:r w:rsidRPr="00A00BDE">
        <w:rPr>
          <w:rFonts w:ascii="Times New Roman" w:hAnsi="Times New Roman" w:cs="Times New Roman"/>
          <w:sz w:val="22"/>
          <w:szCs w:val="22"/>
        </w:rPr>
        <w:t xml:space="preserve">διερεύνησε τη στάση και τις απόψεις των εμπόρων για το άνοιγμα των Κυριακών. Η έρευνα ήταν τηλεφωνική </w:t>
      </w:r>
      <w:r w:rsidR="003C5A51" w:rsidRPr="00A00BDE">
        <w:rPr>
          <w:rFonts w:ascii="Times New Roman" w:hAnsi="Times New Roman" w:cs="Times New Roman"/>
          <w:sz w:val="22"/>
          <w:szCs w:val="22"/>
        </w:rPr>
        <w:t>με χρήση δομημένου ερωτηματολογίου</w:t>
      </w:r>
      <w:r w:rsidRPr="00A00BDE">
        <w:rPr>
          <w:rFonts w:ascii="Times New Roman" w:hAnsi="Times New Roman" w:cs="Times New Roman"/>
          <w:sz w:val="22"/>
          <w:szCs w:val="22"/>
        </w:rPr>
        <w:t xml:space="preserve"> σε </w:t>
      </w:r>
      <w:r w:rsidR="003C5A51" w:rsidRPr="00A00BDE">
        <w:rPr>
          <w:rFonts w:ascii="Times New Roman" w:hAnsi="Times New Roman" w:cs="Times New Roman"/>
          <w:sz w:val="22"/>
          <w:szCs w:val="22"/>
        </w:rPr>
        <w:t xml:space="preserve">τυχαίο δείγμα </w:t>
      </w:r>
      <w:r w:rsidR="005B58DA" w:rsidRPr="00A00BDE">
        <w:rPr>
          <w:rFonts w:ascii="Times New Roman" w:hAnsi="Times New Roman" w:cs="Times New Roman"/>
          <w:sz w:val="22"/>
          <w:szCs w:val="22"/>
        </w:rPr>
        <w:t>250</w:t>
      </w:r>
      <w:r w:rsidR="003C5A51" w:rsidRPr="00A00BDE">
        <w:rPr>
          <w:rFonts w:ascii="Times New Roman" w:hAnsi="Times New Roman" w:cs="Times New Roman"/>
          <w:sz w:val="22"/>
          <w:szCs w:val="22"/>
        </w:rPr>
        <w:t xml:space="preserve"> εμπορικών επιχειρήσεων </w:t>
      </w:r>
      <w:r w:rsidR="00134491" w:rsidRPr="00A00BDE">
        <w:rPr>
          <w:rFonts w:ascii="Times New Roman" w:hAnsi="Times New Roman" w:cs="Times New Roman"/>
          <w:sz w:val="22"/>
          <w:szCs w:val="22"/>
        </w:rPr>
        <w:t xml:space="preserve">σε παραδοσιακές </w:t>
      </w:r>
      <w:r w:rsidR="003C5A51" w:rsidRPr="00A00BDE">
        <w:rPr>
          <w:rFonts w:ascii="Times New Roman" w:hAnsi="Times New Roman" w:cs="Times New Roman"/>
          <w:sz w:val="22"/>
          <w:szCs w:val="22"/>
        </w:rPr>
        <w:t>εμπορικές αγορ</w:t>
      </w:r>
      <w:r w:rsidR="005B58DA" w:rsidRPr="00A00BDE">
        <w:rPr>
          <w:rFonts w:ascii="Times New Roman" w:hAnsi="Times New Roman" w:cs="Times New Roman"/>
          <w:sz w:val="22"/>
          <w:szCs w:val="22"/>
        </w:rPr>
        <w:t xml:space="preserve">ές </w:t>
      </w:r>
      <w:r w:rsidR="00134491" w:rsidRPr="00A00BDE">
        <w:rPr>
          <w:rFonts w:ascii="Times New Roman" w:hAnsi="Times New Roman" w:cs="Times New Roman"/>
          <w:sz w:val="22"/>
          <w:szCs w:val="22"/>
        </w:rPr>
        <w:t xml:space="preserve">αστικών κέντρων της χώρας. </w:t>
      </w:r>
      <w:r w:rsidRPr="00A00BDE">
        <w:rPr>
          <w:rFonts w:ascii="Times New Roman" w:hAnsi="Times New Roman" w:cs="Times New Roman"/>
          <w:sz w:val="22"/>
          <w:szCs w:val="22"/>
        </w:rPr>
        <w:t>Επίσης</w:t>
      </w:r>
      <w:r w:rsidR="00792F29" w:rsidRPr="00A00BDE">
        <w:rPr>
          <w:rFonts w:ascii="Times New Roman" w:hAnsi="Times New Roman" w:cs="Times New Roman"/>
          <w:sz w:val="22"/>
          <w:szCs w:val="22"/>
        </w:rPr>
        <w:t>,</w:t>
      </w:r>
      <w:r w:rsidRPr="00A00BDE">
        <w:rPr>
          <w:rFonts w:ascii="Times New Roman" w:hAnsi="Times New Roman" w:cs="Times New Roman"/>
          <w:sz w:val="22"/>
          <w:szCs w:val="22"/>
        </w:rPr>
        <w:t xml:space="preserve"> καταγράφηκαν οι απόψεις πολλών Εμπορικών Συλλόγων από όλη τη χώρα. </w:t>
      </w:r>
    </w:p>
    <w:p w:rsidR="003C5A51" w:rsidRPr="00A00BDE" w:rsidRDefault="003C5A51" w:rsidP="00B62EE8">
      <w:pPr>
        <w:pStyle w:val="a3"/>
        <w:spacing w:before="80" w:line="360" w:lineRule="atLeast"/>
        <w:jc w:val="both"/>
        <w:rPr>
          <w:rFonts w:ascii="Times New Roman" w:hAnsi="Times New Roman" w:cs="Times New Roman"/>
          <w:b/>
          <w:i/>
          <w:sz w:val="22"/>
          <w:szCs w:val="22"/>
          <w:u w:val="single"/>
        </w:rPr>
      </w:pPr>
      <w:r w:rsidRPr="00A00BDE">
        <w:rPr>
          <w:rFonts w:ascii="Times New Roman" w:hAnsi="Times New Roman" w:cs="Times New Roman"/>
          <w:b/>
          <w:i/>
          <w:sz w:val="22"/>
          <w:szCs w:val="22"/>
          <w:u w:val="single"/>
        </w:rPr>
        <w:t>Εκπτώσεις</w:t>
      </w:r>
    </w:p>
    <w:p w:rsidR="003C5A51" w:rsidRPr="00A00BDE" w:rsidRDefault="003C5A51" w:rsidP="00B62EE8">
      <w:pPr>
        <w:pStyle w:val="a3"/>
        <w:spacing w:before="80" w:line="360" w:lineRule="atLeast"/>
        <w:jc w:val="both"/>
        <w:rPr>
          <w:rFonts w:ascii="Times New Roman" w:hAnsi="Times New Roman" w:cs="Times New Roman"/>
          <w:sz w:val="22"/>
          <w:szCs w:val="22"/>
        </w:rPr>
      </w:pPr>
      <w:r w:rsidRPr="00A00BDE">
        <w:rPr>
          <w:rFonts w:ascii="Times New Roman" w:hAnsi="Times New Roman" w:cs="Times New Roman"/>
          <w:sz w:val="22"/>
          <w:szCs w:val="22"/>
        </w:rPr>
        <w:t>Συνολικά</w:t>
      </w:r>
      <w:r w:rsidR="00620969" w:rsidRPr="00A00BDE">
        <w:rPr>
          <w:rFonts w:ascii="Times New Roman" w:hAnsi="Times New Roman" w:cs="Times New Roman"/>
          <w:sz w:val="22"/>
          <w:szCs w:val="22"/>
        </w:rPr>
        <w:t>,</w:t>
      </w:r>
      <w:r w:rsidRPr="00A00BDE">
        <w:rPr>
          <w:rFonts w:ascii="Times New Roman" w:hAnsi="Times New Roman" w:cs="Times New Roman"/>
          <w:sz w:val="22"/>
          <w:szCs w:val="22"/>
        </w:rPr>
        <w:t xml:space="preserve"> η καλοκαιρινή εκπτωτική περίοδος από την άποψη των πωλήσεων των εμπορικών καταστημάτων κινήθηκε </w:t>
      </w:r>
      <w:r w:rsidR="00ED069A" w:rsidRPr="00A00BDE">
        <w:rPr>
          <w:rFonts w:ascii="Times New Roman" w:hAnsi="Times New Roman" w:cs="Times New Roman"/>
          <w:sz w:val="22"/>
          <w:szCs w:val="22"/>
        </w:rPr>
        <w:t xml:space="preserve">σε </w:t>
      </w:r>
      <w:r w:rsidRPr="00A00BDE">
        <w:rPr>
          <w:rFonts w:ascii="Times New Roman" w:hAnsi="Times New Roman" w:cs="Times New Roman"/>
          <w:sz w:val="22"/>
          <w:szCs w:val="22"/>
        </w:rPr>
        <w:t xml:space="preserve">χαμηλότερα επίπεδα από την αντίστοιχη περσινή. Το </w:t>
      </w:r>
      <w:r w:rsidR="00ED069A" w:rsidRPr="00A00BDE">
        <w:rPr>
          <w:rFonts w:ascii="Times New Roman" w:hAnsi="Times New Roman" w:cs="Times New Roman"/>
          <w:sz w:val="22"/>
          <w:szCs w:val="22"/>
        </w:rPr>
        <w:t>53,9</w:t>
      </w:r>
      <w:r w:rsidRPr="00A00BDE">
        <w:rPr>
          <w:rFonts w:ascii="Times New Roman" w:hAnsi="Times New Roman" w:cs="Times New Roman"/>
          <w:sz w:val="22"/>
          <w:szCs w:val="22"/>
        </w:rPr>
        <w:t xml:space="preserve">% των εμπόρων πραγματοποίησε </w:t>
      </w:r>
      <w:r w:rsidR="00ED069A" w:rsidRPr="00A00BDE">
        <w:rPr>
          <w:rFonts w:ascii="Times New Roman" w:hAnsi="Times New Roman" w:cs="Times New Roman"/>
          <w:sz w:val="22"/>
          <w:szCs w:val="22"/>
        </w:rPr>
        <w:t>χαμηλότερες</w:t>
      </w:r>
      <w:r w:rsidRPr="00A00BDE">
        <w:rPr>
          <w:rFonts w:ascii="Times New Roman" w:hAnsi="Times New Roman" w:cs="Times New Roman"/>
          <w:sz w:val="22"/>
          <w:szCs w:val="22"/>
        </w:rPr>
        <w:t xml:space="preserve"> πωλήσεις </w:t>
      </w:r>
      <w:r w:rsidR="00ED069A" w:rsidRPr="00A00BDE">
        <w:rPr>
          <w:rFonts w:ascii="Times New Roman" w:hAnsi="Times New Roman" w:cs="Times New Roman"/>
          <w:sz w:val="22"/>
          <w:szCs w:val="22"/>
        </w:rPr>
        <w:t>από</w:t>
      </w:r>
      <w:r w:rsidRPr="00A00BDE">
        <w:rPr>
          <w:rFonts w:ascii="Times New Roman" w:hAnsi="Times New Roman" w:cs="Times New Roman"/>
          <w:sz w:val="22"/>
          <w:szCs w:val="22"/>
        </w:rPr>
        <w:t xml:space="preserve"> τις περσινές, ενώ το </w:t>
      </w:r>
      <w:r w:rsidR="00ED069A" w:rsidRPr="00A00BDE">
        <w:rPr>
          <w:rFonts w:ascii="Times New Roman" w:hAnsi="Times New Roman" w:cs="Times New Roman"/>
          <w:sz w:val="22"/>
          <w:szCs w:val="22"/>
        </w:rPr>
        <w:t>31,7</w:t>
      </w:r>
      <w:r w:rsidRPr="00A00BDE">
        <w:rPr>
          <w:rFonts w:ascii="Times New Roman" w:hAnsi="Times New Roman" w:cs="Times New Roman"/>
          <w:sz w:val="22"/>
          <w:szCs w:val="22"/>
        </w:rPr>
        <w:t xml:space="preserve">% </w:t>
      </w:r>
      <w:r w:rsidR="00ED069A" w:rsidRPr="00A00BDE">
        <w:rPr>
          <w:rFonts w:ascii="Times New Roman" w:hAnsi="Times New Roman" w:cs="Times New Roman"/>
          <w:sz w:val="22"/>
          <w:szCs w:val="22"/>
        </w:rPr>
        <w:t>είδε τις φετινές πωλήσεις στη διάρκεια των εκπτώσεων να παραμένουν στα ίδια επίπεδα</w:t>
      </w:r>
      <w:r w:rsidRPr="00A00BDE">
        <w:rPr>
          <w:rFonts w:ascii="Times New Roman" w:hAnsi="Times New Roman" w:cs="Times New Roman"/>
          <w:sz w:val="22"/>
          <w:szCs w:val="22"/>
        </w:rPr>
        <w:t xml:space="preserve"> </w:t>
      </w:r>
      <w:r w:rsidR="00ED069A" w:rsidRPr="00A00BDE">
        <w:rPr>
          <w:rFonts w:ascii="Times New Roman" w:hAnsi="Times New Roman" w:cs="Times New Roman"/>
          <w:sz w:val="22"/>
          <w:szCs w:val="22"/>
        </w:rPr>
        <w:t>με πέρσι ενώ μόλις το 13,6% σημείωσε αύξηση.</w:t>
      </w:r>
      <w:r w:rsidR="00683E9D" w:rsidRPr="00A00BDE">
        <w:rPr>
          <w:rFonts w:ascii="Times New Roman" w:hAnsi="Times New Roman" w:cs="Times New Roman"/>
          <w:sz w:val="22"/>
          <w:szCs w:val="22"/>
        </w:rPr>
        <w:t xml:space="preserve">  </w:t>
      </w:r>
      <w:r w:rsidR="00393C72" w:rsidRPr="00A00BDE">
        <w:rPr>
          <w:rFonts w:ascii="Times New Roman" w:hAnsi="Times New Roman" w:cs="Times New Roman"/>
          <w:sz w:val="22"/>
          <w:szCs w:val="22"/>
        </w:rPr>
        <w:t>Ωστόσο</w:t>
      </w:r>
      <w:r w:rsidR="00792F29" w:rsidRPr="00A00BDE">
        <w:rPr>
          <w:rFonts w:ascii="Times New Roman" w:hAnsi="Times New Roman" w:cs="Times New Roman"/>
          <w:sz w:val="22"/>
          <w:szCs w:val="22"/>
        </w:rPr>
        <w:t>,</w:t>
      </w:r>
      <w:r w:rsidR="00393C72" w:rsidRPr="00A00BDE">
        <w:rPr>
          <w:rFonts w:ascii="Times New Roman" w:hAnsi="Times New Roman" w:cs="Times New Roman"/>
          <w:sz w:val="22"/>
          <w:szCs w:val="22"/>
        </w:rPr>
        <w:t xml:space="preserve"> η εικόνα αυτή δεν ήταν η ίδια σε όλους τους κλάδους. Διαφοροποιείται ανάλογα με τις καταναλωτικές συνήθει</w:t>
      </w:r>
      <w:r w:rsidR="00792F29" w:rsidRPr="00A00BDE">
        <w:rPr>
          <w:rFonts w:ascii="Times New Roman" w:hAnsi="Times New Roman" w:cs="Times New Roman"/>
          <w:sz w:val="22"/>
          <w:szCs w:val="22"/>
        </w:rPr>
        <w:t>ε</w:t>
      </w:r>
      <w:r w:rsidR="00393C72" w:rsidRPr="00A00BDE">
        <w:rPr>
          <w:rFonts w:ascii="Times New Roman" w:hAnsi="Times New Roman" w:cs="Times New Roman"/>
          <w:sz w:val="22"/>
          <w:szCs w:val="22"/>
        </w:rPr>
        <w:t xml:space="preserve">ς σε συνδυασμό με το διαθέσιμο εισόδημα. Πιο συγκεκριμένα,  ο κλάδος των καλλυντικών παρουσιάζει μια ιδιαίτερη δυναμική, ενώ διακρίνεται αισθητά η ένδυση από την υπόδηση με τη δεύτερη να κινείται σε σαφώς καλύτερα επίπεδα.  </w:t>
      </w:r>
    </w:p>
    <w:p w:rsidR="005B58DA" w:rsidRDefault="005B58DA" w:rsidP="003C5A51">
      <w:pPr>
        <w:pStyle w:val="a3"/>
        <w:jc w:val="both"/>
        <w:rPr>
          <w:rFonts w:ascii="Times New Roman" w:hAnsi="Times New Roman"/>
          <w:sz w:val="24"/>
          <w:szCs w:val="24"/>
        </w:rPr>
      </w:pPr>
    </w:p>
    <w:p w:rsidR="005B58DA" w:rsidRDefault="00ED069A" w:rsidP="003C5A51">
      <w:pPr>
        <w:pStyle w:val="a3"/>
        <w:jc w:val="both"/>
        <w:rPr>
          <w:rFonts w:ascii="Times New Roman" w:hAnsi="Times New Roman"/>
          <w:sz w:val="24"/>
          <w:szCs w:val="24"/>
        </w:rPr>
      </w:pPr>
      <w:r>
        <w:rPr>
          <w:rFonts w:ascii="Times New Roman" w:hAnsi="Times New Roman"/>
          <w:noProof/>
          <w:sz w:val="24"/>
          <w:szCs w:val="24"/>
          <w:lang w:eastAsia="el-GR"/>
        </w:rPr>
        <w:drawing>
          <wp:inline distT="0" distB="0" distL="0" distR="0">
            <wp:extent cx="4436330" cy="2122998"/>
            <wp:effectExtent l="19050" t="0" r="2320" b="0"/>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433056" cy="2121431"/>
                    </a:xfrm>
                    <a:prstGeom prst="rect">
                      <a:avLst/>
                    </a:prstGeom>
                    <a:noFill/>
                  </pic:spPr>
                </pic:pic>
              </a:graphicData>
            </a:graphic>
          </wp:inline>
        </w:drawing>
      </w:r>
    </w:p>
    <w:p w:rsidR="00683E9D" w:rsidRPr="00A00BDE" w:rsidRDefault="00683E9D" w:rsidP="00B62EE8">
      <w:pPr>
        <w:pStyle w:val="a3"/>
        <w:spacing w:line="360" w:lineRule="atLeast"/>
        <w:jc w:val="both"/>
        <w:rPr>
          <w:rFonts w:ascii="Times New Roman" w:hAnsi="Times New Roman"/>
          <w:sz w:val="22"/>
          <w:szCs w:val="22"/>
        </w:rPr>
      </w:pPr>
      <w:r w:rsidRPr="00A00BDE">
        <w:rPr>
          <w:rFonts w:ascii="Times New Roman" w:hAnsi="Times New Roman"/>
          <w:sz w:val="22"/>
          <w:szCs w:val="22"/>
        </w:rPr>
        <w:t>Η μείωση στις πωλήσεις δεν αφορά όλες τις επιχειρήσεις με την ίδια ένταση αν και οι περισσότεροι έμποροι δ</w:t>
      </w:r>
      <w:r w:rsidR="00A00BDE" w:rsidRPr="00A00BDE">
        <w:rPr>
          <w:rFonts w:ascii="Times New Roman" w:hAnsi="Times New Roman"/>
          <w:sz w:val="22"/>
          <w:szCs w:val="22"/>
        </w:rPr>
        <w:t>ή</w:t>
      </w:r>
      <w:r w:rsidRPr="00A00BDE">
        <w:rPr>
          <w:rFonts w:ascii="Times New Roman" w:hAnsi="Times New Roman"/>
          <w:sz w:val="22"/>
          <w:szCs w:val="22"/>
        </w:rPr>
        <w:t>λ</w:t>
      </w:r>
      <w:r w:rsidR="00A00BDE" w:rsidRPr="00A00BDE">
        <w:rPr>
          <w:rFonts w:ascii="Times New Roman" w:hAnsi="Times New Roman"/>
          <w:sz w:val="22"/>
          <w:szCs w:val="22"/>
        </w:rPr>
        <w:t>ω</w:t>
      </w:r>
      <w:r w:rsidRPr="00A00BDE">
        <w:rPr>
          <w:rFonts w:ascii="Times New Roman" w:hAnsi="Times New Roman"/>
          <w:sz w:val="22"/>
          <w:szCs w:val="22"/>
        </w:rPr>
        <w:t>σ</w:t>
      </w:r>
      <w:r w:rsidR="00B62EE8" w:rsidRPr="00A00BDE">
        <w:rPr>
          <w:rFonts w:ascii="Times New Roman" w:hAnsi="Times New Roman"/>
          <w:sz w:val="22"/>
          <w:szCs w:val="22"/>
        </w:rPr>
        <w:t>αν</w:t>
      </w:r>
      <w:r w:rsidRPr="00A00BDE">
        <w:rPr>
          <w:rFonts w:ascii="Times New Roman" w:hAnsi="Times New Roman"/>
          <w:sz w:val="22"/>
          <w:szCs w:val="22"/>
        </w:rPr>
        <w:t xml:space="preserve"> μείωση άνω του 40%.</w:t>
      </w:r>
    </w:p>
    <w:p w:rsidR="00134491" w:rsidRPr="00A00BDE" w:rsidRDefault="00134491" w:rsidP="003C5A51">
      <w:pPr>
        <w:pStyle w:val="a3"/>
        <w:jc w:val="both"/>
        <w:rPr>
          <w:rFonts w:ascii="Times New Roman" w:hAnsi="Times New Roman"/>
          <w:sz w:val="22"/>
          <w:szCs w:val="22"/>
        </w:rPr>
      </w:pPr>
    </w:p>
    <w:tbl>
      <w:tblPr>
        <w:tblStyle w:val="a5"/>
        <w:tblW w:w="0" w:type="auto"/>
        <w:tblLook w:val="04A0"/>
      </w:tblPr>
      <w:tblGrid>
        <w:gridCol w:w="4261"/>
        <w:gridCol w:w="4261"/>
      </w:tblGrid>
      <w:tr w:rsidR="00683E9D" w:rsidTr="00134491">
        <w:tc>
          <w:tcPr>
            <w:tcW w:w="8522" w:type="dxa"/>
            <w:gridSpan w:val="2"/>
          </w:tcPr>
          <w:p w:rsidR="00683E9D" w:rsidRPr="00A00BDE" w:rsidRDefault="00683E9D" w:rsidP="00683E9D">
            <w:pPr>
              <w:pStyle w:val="a3"/>
              <w:jc w:val="center"/>
              <w:rPr>
                <w:rFonts w:ascii="Times New Roman" w:hAnsi="Times New Roman"/>
                <w:b/>
                <w:sz w:val="22"/>
                <w:szCs w:val="22"/>
              </w:rPr>
            </w:pPr>
            <w:r w:rsidRPr="00A00BDE">
              <w:rPr>
                <w:rFonts w:ascii="Times New Roman" w:hAnsi="Times New Roman"/>
                <w:b/>
                <w:sz w:val="22"/>
                <w:szCs w:val="22"/>
              </w:rPr>
              <w:t>Ποσοστιαία καταγεγραμμένη μείωση των πωλήσεων στις θερινές εκπτώσεις 2014/2013</w:t>
            </w:r>
          </w:p>
        </w:tc>
      </w:tr>
      <w:tr w:rsidR="00683E9D" w:rsidTr="00134491">
        <w:tc>
          <w:tcPr>
            <w:tcW w:w="4261" w:type="dxa"/>
            <w:vAlign w:val="bottom"/>
          </w:tcPr>
          <w:p w:rsidR="00683E9D" w:rsidRPr="00A00BDE" w:rsidRDefault="00683E9D">
            <w:pPr>
              <w:rPr>
                <w:rFonts w:ascii="Times New Roman" w:hAnsi="Times New Roman"/>
              </w:rPr>
            </w:pPr>
            <w:r w:rsidRPr="00A00BDE">
              <w:rPr>
                <w:rFonts w:ascii="Times New Roman" w:hAnsi="Times New Roman"/>
              </w:rPr>
              <w:t>0 – 10%</w:t>
            </w:r>
          </w:p>
        </w:tc>
        <w:tc>
          <w:tcPr>
            <w:tcW w:w="4261" w:type="dxa"/>
            <w:vAlign w:val="bottom"/>
          </w:tcPr>
          <w:p w:rsidR="00683E9D" w:rsidRPr="00A00BDE" w:rsidRDefault="00683E9D">
            <w:pPr>
              <w:jc w:val="center"/>
              <w:rPr>
                <w:rFonts w:ascii="Times New Roman" w:hAnsi="Times New Roman"/>
              </w:rPr>
            </w:pPr>
            <w:r w:rsidRPr="00A00BDE">
              <w:rPr>
                <w:rFonts w:ascii="Times New Roman" w:hAnsi="Times New Roman"/>
              </w:rPr>
              <w:t>13,7%</w:t>
            </w:r>
          </w:p>
        </w:tc>
      </w:tr>
      <w:tr w:rsidR="00683E9D" w:rsidTr="00134491">
        <w:tc>
          <w:tcPr>
            <w:tcW w:w="4261" w:type="dxa"/>
            <w:vAlign w:val="bottom"/>
          </w:tcPr>
          <w:p w:rsidR="00683E9D" w:rsidRPr="00A00BDE" w:rsidRDefault="00683E9D">
            <w:pPr>
              <w:rPr>
                <w:rFonts w:ascii="Times New Roman" w:hAnsi="Times New Roman"/>
              </w:rPr>
            </w:pPr>
            <w:r w:rsidRPr="00A00BDE">
              <w:rPr>
                <w:rFonts w:ascii="Times New Roman" w:hAnsi="Times New Roman"/>
              </w:rPr>
              <w:t xml:space="preserve">11% - 20% </w:t>
            </w:r>
          </w:p>
        </w:tc>
        <w:tc>
          <w:tcPr>
            <w:tcW w:w="4261" w:type="dxa"/>
            <w:vAlign w:val="bottom"/>
          </w:tcPr>
          <w:p w:rsidR="00683E9D" w:rsidRPr="00A00BDE" w:rsidRDefault="00683E9D">
            <w:pPr>
              <w:jc w:val="center"/>
              <w:rPr>
                <w:rFonts w:ascii="Times New Roman" w:hAnsi="Times New Roman"/>
              </w:rPr>
            </w:pPr>
            <w:r w:rsidRPr="00A00BDE">
              <w:rPr>
                <w:rFonts w:ascii="Times New Roman" w:hAnsi="Times New Roman"/>
              </w:rPr>
              <w:t>18,8%</w:t>
            </w:r>
          </w:p>
        </w:tc>
      </w:tr>
      <w:tr w:rsidR="00683E9D" w:rsidTr="00134491">
        <w:tc>
          <w:tcPr>
            <w:tcW w:w="4261" w:type="dxa"/>
            <w:vAlign w:val="bottom"/>
          </w:tcPr>
          <w:p w:rsidR="00683E9D" w:rsidRPr="00A00BDE" w:rsidRDefault="00683E9D">
            <w:pPr>
              <w:rPr>
                <w:rFonts w:ascii="Times New Roman" w:hAnsi="Times New Roman"/>
              </w:rPr>
            </w:pPr>
            <w:r w:rsidRPr="00A00BDE">
              <w:rPr>
                <w:rFonts w:ascii="Times New Roman" w:hAnsi="Times New Roman"/>
              </w:rPr>
              <w:t>21% - 30%</w:t>
            </w:r>
          </w:p>
        </w:tc>
        <w:tc>
          <w:tcPr>
            <w:tcW w:w="4261" w:type="dxa"/>
            <w:vAlign w:val="bottom"/>
          </w:tcPr>
          <w:p w:rsidR="00683E9D" w:rsidRPr="00A00BDE" w:rsidRDefault="00683E9D">
            <w:pPr>
              <w:jc w:val="center"/>
              <w:rPr>
                <w:rFonts w:ascii="Times New Roman" w:hAnsi="Times New Roman"/>
              </w:rPr>
            </w:pPr>
            <w:r w:rsidRPr="00A00BDE">
              <w:rPr>
                <w:rFonts w:ascii="Times New Roman" w:hAnsi="Times New Roman"/>
              </w:rPr>
              <w:t>23,1%</w:t>
            </w:r>
          </w:p>
        </w:tc>
      </w:tr>
      <w:tr w:rsidR="00683E9D" w:rsidTr="00134491">
        <w:tc>
          <w:tcPr>
            <w:tcW w:w="4261" w:type="dxa"/>
            <w:vAlign w:val="bottom"/>
          </w:tcPr>
          <w:p w:rsidR="00683E9D" w:rsidRPr="00A00BDE" w:rsidRDefault="00683E9D">
            <w:pPr>
              <w:rPr>
                <w:rFonts w:ascii="Times New Roman" w:hAnsi="Times New Roman"/>
              </w:rPr>
            </w:pPr>
            <w:r w:rsidRPr="00A00BDE">
              <w:rPr>
                <w:rFonts w:ascii="Times New Roman" w:hAnsi="Times New Roman"/>
              </w:rPr>
              <w:t>31%- 40%</w:t>
            </w:r>
          </w:p>
        </w:tc>
        <w:tc>
          <w:tcPr>
            <w:tcW w:w="4261" w:type="dxa"/>
            <w:vAlign w:val="bottom"/>
          </w:tcPr>
          <w:p w:rsidR="00683E9D" w:rsidRPr="00A00BDE" w:rsidRDefault="00683E9D">
            <w:pPr>
              <w:jc w:val="center"/>
              <w:rPr>
                <w:rFonts w:ascii="Times New Roman" w:hAnsi="Times New Roman"/>
              </w:rPr>
            </w:pPr>
            <w:r w:rsidRPr="00A00BDE">
              <w:rPr>
                <w:rFonts w:ascii="Times New Roman" w:hAnsi="Times New Roman"/>
              </w:rPr>
              <w:t>13,7%</w:t>
            </w:r>
          </w:p>
        </w:tc>
      </w:tr>
      <w:tr w:rsidR="00683E9D" w:rsidTr="00134491">
        <w:tc>
          <w:tcPr>
            <w:tcW w:w="4261" w:type="dxa"/>
            <w:vAlign w:val="bottom"/>
          </w:tcPr>
          <w:p w:rsidR="00683E9D" w:rsidRPr="00A00BDE" w:rsidRDefault="00683E9D">
            <w:pPr>
              <w:rPr>
                <w:rFonts w:ascii="Times New Roman" w:hAnsi="Times New Roman"/>
              </w:rPr>
            </w:pPr>
            <w:r w:rsidRPr="00A00BDE">
              <w:rPr>
                <w:rFonts w:ascii="Times New Roman" w:hAnsi="Times New Roman"/>
              </w:rPr>
              <w:t xml:space="preserve">μεγαλύτερη από 41% </w:t>
            </w:r>
          </w:p>
        </w:tc>
        <w:tc>
          <w:tcPr>
            <w:tcW w:w="4261" w:type="dxa"/>
            <w:vAlign w:val="bottom"/>
          </w:tcPr>
          <w:p w:rsidR="00683E9D" w:rsidRPr="00A00BDE" w:rsidRDefault="00683E9D">
            <w:pPr>
              <w:jc w:val="center"/>
              <w:rPr>
                <w:rFonts w:ascii="Times New Roman" w:hAnsi="Times New Roman"/>
              </w:rPr>
            </w:pPr>
            <w:r w:rsidRPr="00A00BDE">
              <w:rPr>
                <w:rFonts w:ascii="Times New Roman" w:hAnsi="Times New Roman"/>
              </w:rPr>
              <w:t>30,8%</w:t>
            </w:r>
          </w:p>
        </w:tc>
      </w:tr>
    </w:tbl>
    <w:p w:rsidR="00683E9D" w:rsidRDefault="00683E9D" w:rsidP="003C5A51">
      <w:pPr>
        <w:pStyle w:val="a3"/>
        <w:jc w:val="both"/>
        <w:rPr>
          <w:rFonts w:ascii="Times New Roman" w:hAnsi="Times New Roman"/>
          <w:sz w:val="24"/>
          <w:szCs w:val="24"/>
        </w:rPr>
      </w:pPr>
      <w:r>
        <w:rPr>
          <w:rFonts w:ascii="Times New Roman" w:hAnsi="Times New Roman"/>
          <w:sz w:val="24"/>
          <w:szCs w:val="24"/>
        </w:rPr>
        <w:lastRenderedPageBreak/>
        <w:t xml:space="preserve"> </w:t>
      </w:r>
    </w:p>
    <w:p w:rsidR="00010FE8" w:rsidRDefault="00010FE8" w:rsidP="003C5A51">
      <w:pPr>
        <w:pStyle w:val="a3"/>
        <w:jc w:val="both"/>
        <w:rPr>
          <w:rFonts w:ascii="Times New Roman" w:hAnsi="Times New Roman"/>
          <w:sz w:val="24"/>
          <w:szCs w:val="24"/>
        </w:rPr>
      </w:pPr>
    </w:p>
    <w:p w:rsidR="00010FE8" w:rsidRDefault="00010FE8" w:rsidP="003C5A51">
      <w:pPr>
        <w:pStyle w:val="a3"/>
        <w:jc w:val="both"/>
        <w:rPr>
          <w:rFonts w:ascii="Times New Roman" w:hAnsi="Times New Roman"/>
          <w:sz w:val="24"/>
          <w:szCs w:val="24"/>
        </w:rPr>
      </w:pPr>
    </w:p>
    <w:p w:rsidR="00683E9D" w:rsidRDefault="00683E9D" w:rsidP="003C5A51">
      <w:pPr>
        <w:pStyle w:val="a3"/>
        <w:jc w:val="both"/>
        <w:rPr>
          <w:rFonts w:ascii="Times New Roman" w:hAnsi="Times New Roman"/>
          <w:sz w:val="24"/>
          <w:szCs w:val="24"/>
        </w:rPr>
      </w:pPr>
      <w:r w:rsidRPr="00683E9D">
        <w:rPr>
          <w:rFonts w:ascii="Times New Roman" w:hAnsi="Times New Roman"/>
          <w:noProof/>
          <w:sz w:val="24"/>
          <w:szCs w:val="24"/>
          <w:lang w:eastAsia="el-GR"/>
        </w:rPr>
        <w:drawing>
          <wp:inline distT="0" distB="0" distL="0" distR="0">
            <wp:extent cx="4330313" cy="2083242"/>
            <wp:effectExtent l="19050" t="0" r="0" b="0"/>
            <wp:docPr id="10"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336842" cy="2086383"/>
                    </a:xfrm>
                    <a:prstGeom prst="rect">
                      <a:avLst/>
                    </a:prstGeom>
                    <a:noFill/>
                  </pic:spPr>
                </pic:pic>
              </a:graphicData>
            </a:graphic>
          </wp:inline>
        </w:drawing>
      </w:r>
    </w:p>
    <w:p w:rsidR="00ED069A" w:rsidRPr="00A00BDE" w:rsidRDefault="00ED069A" w:rsidP="00B62EE8">
      <w:pPr>
        <w:pStyle w:val="a3"/>
        <w:spacing w:before="80" w:line="360" w:lineRule="atLeast"/>
        <w:jc w:val="both"/>
        <w:rPr>
          <w:rFonts w:ascii="Times New Roman" w:hAnsi="Times New Roman"/>
          <w:sz w:val="22"/>
          <w:szCs w:val="22"/>
        </w:rPr>
      </w:pPr>
      <w:r w:rsidRPr="00A00BDE">
        <w:rPr>
          <w:rFonts w:ascii="Times New Roman" w:hAnsi="Times New Roman"/>
          <w:sz w:val="22"/>
          <w:szCs w:val="22"/>
        </w:rPr>
        <w:t>Το επίπεδο των εκπτώσεων κινήθηκε από 21% έως 50%</w:t>
      </w:r>
      <w:r w:rsidR="00792F29" w:rsidRPr="00A00BDE">
        <w:rPr>
          <w:rFonts w:ascii="Times New Roman" w:hAnsi="Times New Roman"/>
          <w:sz w:val="22"/>
          <w:szCs w:val="22"/>
        </w:rPr>
        <w:t>,</w:t>
      </w:r>
      <w:r w:rsidRPr="00A00BDE">
        <w:rPr>
          <w:rFonts w:ascii="Times New Roman" w:hAnsi="Times New Roman"/>
          <w:sz w:val="22"/>
          <w:szCs w:val="22"/>
        </w:rPr>
        <w:t xml:space="preserve"> ενώ επιβεβαιώθηκε για μία ακόμη χρονιά ότι η καλύτερη περίοδος από άποψη αγοραστικής κίνησης </w:t>
      </w:r>
      <w:r w:rsidR="00683E9D" w:rsidRPr="00A00BDE">
        <w:rPr>
          <w:rFonts w:ascii="Times New Roman" w:hAnsi="Times New Roman"/>
          <w:sz w:val="22"/>
          <w:szCs w:val="22"/>
        </w:rPr>
        <w:t>είναι το πρώτο δεκαπενθήμερο (14/7 – 31/07)</w:t>
      </w:r>
      <w:r w:rsidR="00FC38ED" w:rsidRPr="00A00BDE">
        <w:rPr>
          <w:rFonts w:ascii="Times New Roman" w:hAnsi="Times New Roman"/>
          <w:sz w:val="22"/>
          <w:szCs w:val="22"/>
        </w:rPr>
        <w:t>.</w:t>
      </w:r>
    </w:p>
    <w:p w:rsidR="00ED069A" w:rsidRDefault="00ED069A" w:rsidP="00FD5226">
      <w:pPr>
        <w:pStyle w:val="a3"/>
        <w:spacing w:before="80"/>
        <w:jc w:val="both"/>
        <w:rPr>
          <w:rFonts w:ascii="Times New Roman" w:hAnsi="Times New Roman"/>
          <w:sz w:val="24"/>
          <w:szCs w:val="24"/>
        </w:rPr>
      </w:pPr>
      <w:r>
        <w:rPr>
          <w:rFonts w:ascii="Times New Roman" w:hAnsi="Times New Roman"/>
          <w:noProof/>
          <w:sz w:val="24"/>
          <w:szCs w:val="24"/>
          <w:lang w:eastAsia="el-GR"/>
        </w:rPr>
        <w:drawing>
          <wp:inline distT="0" distB="0" distL="0" distR="0">
            <wp:extent cx="4330313" cy="2169165"/>
            <wp:effectExtent l="19050" t="0" r="0" b="0"/>
            <wp:docPr id="9"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340266" cy="2174151"/>
                    </a:xfrm>
                    <a:prstGeom prst="rect">
                      <a:avLst/>
                    </a:prstGeom>
                    <a:noFill/>
                  </pic:spPr>
                </pic:pic>
              </a:graphicData>
            </a:graphic>
          </wp:inline>
        </w:drawing>
      </w:r>
    </w:p>
    <w:p w:rsidR="00ED069A" w:rsidRPr="00A00BDE" w:rsidRDefault="001E43D9" w:rsidP="00B62EE8">
      <w:pPr>
        <w:pStyle w:val="a3"/>
        <w:spacing w:before="80" w:line="360" w:lineRule="atLeast"/>
        <w:jc w:val="both"/>
        <w:rPr>
          <w:rFonts w:ascii="Times New Roman" w:hAnsi="Times New Roman"/>
          <w:sz w:val="22"/>
          <w:szCs w:val="22"/>
        </w:rPr>
      </w:pPr>
      <w:r w:rsidRPr="00A00BDE">
        <w:rPr>
          <w:rFonts w:ascii="Times New Roman" w:hAnsi="Times New Roman"/>
          <w:sz w:val="22"/>
          <w:szCs w:val="22"/>
        </w:rPr>
        <w:t>Οι έμποροι δήλωσαν κατά γενική ομολογία τη δυσαρέσκεια τους απέναντι στο θεσμό των ενδιάμεσων εκπτώσεων</w:t>
      </w:r>
      <w:r w:rsidR="00792F29" w:rsidRPr="00A00BDE">
        <w:rPr>
          <w:rFonts w:ascii="Times New Roman" w:hAnsi="Times New Roman"/>
          <w:sz w:val="22"/>
          <w:szCs w:val="22"/>
        </w:rPr>
        <w:t>,</w:t>
      </w:r>
      <w:r w:rsidRPr="00A00BDE">
        <w:rPr>
          <w:rFonts w:ascii="Times New Roman" w:hAnsi="Times New Roman"/>
          <w:sz w:val="22"/>
          <w:szCs w:val="22"/>
        </w:rPr>
        <w:t xml:space="preserve"> αφού το 73,5% πιστεύει ότι οι ενδιάμεσες εκπτώσεις δεν βοήθησαν καθόλου την επιχείρηση ενώ το 20,1% τη βοήθησε λίγο.</w:t>
      </w:r>
    </w:p>
    <w:p w:rsidR="00ED069A" w:rsidRDefault="00683E9D" w:rsidP="00FD5226">
      <w:pPr>
        <w:pStyle w:val="a3"/>
        <w:spacing w:before="80"/>
        <w:jc w:val="both"/>
        <w:rPr>
          <w:rFonts w:ascii="Times New Roman" w:hAnsi="Times New Roman"/>
          <w:sz w:val="24"/>
          <w:szCs w:val="24"/>
        </w:rPr>
      </w:pPr>
      <w:r>
        <w:rPr>
          <w:rFonts w:ascii="Times New Roman" w:hAnsi="Times New Roman"/>
          <w:noProof/>
          <w:sz w:val="24"/>
          <w:szCs w:val="24"/>
          <w:lang w:eastAsia="el-GR"/>
        </w:rPr>
        <w:drawing>
          <wp:inline distT="0" distB="0" distL="0" distR="0">
            <wp:extent cx="4330313" cy="2202512"/>
            <wp:effectExtent l="19050" t="0" r="0" b="0"/>
            <wp:docPr id="12"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334140" cy="2204459"/>
                    </a:xfrm>
                    <a:prstGeom prst="rect">
                      <a:avLst/>
                    </a:prstGeom>
                    <a:noFill/>
                  </pic:spPr>
                </pic:pic>
              </a:graphicData>
            </a:graphic>
          </wp:inline>
        </w:drawing>
      </w:r>
    </w:p>
    <w:p w:rsidR="00B62EE8" w:rsidRPr="00A00BDE" w:rsidRDefault="00B62EE8" w:rsidP="00B62EE8">
      <w:pPr>
        <w:spacing w:before="80" w:after="0" w:line="360" w:lineRule="atLeast"/>
        <w:jc w:val="both"/>
        <w:rPr>
          <w:rFonts w:ascii="Times New Roman" w:hAnsi="Times New Roman" w:cs="Times New Roman"/>
        </w:rPr>
      </w:pPr>
      <w:r w:rsidRPr="00A00BDE">
        <w:rPr>
          <w:rFonts w:ascii="Times New Roman" w:hAnsi="Times New Roman" w:cs="Times New Roman"/>
        </w:rPr>
        <w:t xml:space="preserve">Αντιφατικά είναι τα μηνύματα από την εφαρμογή του θεσμού των </w:t>
      </w:r>
      <w:r w:rsidRPr="00A00BDE">
        <w:rPr>
          <w:rFonts w:ascii="Times New Roman" w:hAnsi="Times New Roman" w:cs="Times New Roman"/>
          <w:i/>
        </w:rPr>
        <w:t>«ενδιάμεσων εκπτώσεων</w:t>
      </w:r>
      <w:r w:rsidRPr="00A00BDE">
        <w:rPr>
          <w:rFonts w:ascii="Times New Roman" w:hAnsi="Times New Roman" w:cs="Times New Roman"/>
        </w:rPr>
        <w:t>» (1</w:t>
      </w:r>
      <w:r w:rsidRPr="00A00BDE">
        <w:rPr>
          <w:rFonts w:ascii="Times New Roman" w:hAnsi="Times New Roman" w:cs="Times New Roman"/>
          <w:vertAlign w:val="superscript"/>
        </w:rPr>
        <w:t>ο</w:t>
      </w:r>
      <w:r w:rsidRPr="00A00BDE">
        <w:rPr>
          <w:rFonts w:ascii="Times New Roman" w:hAnsi="Times New Roman" w:cs="Times New Roman"/>
        </w:rPr>
        <w:t xml:space="preserve"> δεκαήμερο των μηνών Μαΐου και Νοεμβρίου) – (Πίνακας 2). Η αίσθηση που επικρατεί </w:t>
      </w:r>
      <w:r w:rsidRPr="00A00BDE">
        <w:rPr>
          <w:rFonts w:ascii="Times New Roman" w:hAnsi="Times New Roman" w:cs="Times New Roman"/>
        </w:rPr>
        <w:lastRenderedPageBreak/>
        <w:t xml:space="preserve">στην αγορά είναι πως οι πολλές περίοδοι εκπτώσεων μάλλον αποπροσανατόλισαν τους καταναλωτές και προκάλεσαν σύγχυση παρά βελτίωση του κύκλου εργασιών. Οι ενδιάμεσες εκπτώσεις δεν αναδείχθηκαν σε πραγματικό κίνητρο για αγορές αφού δεν ήταν εφικτό να αντιπαρατεθούν με τις προκλήσεις του γενικότερου μακροοικονομικού περιβάλλοντος αλλά ούτε με τους παράγοντες που κρατούν καθηλωμένη την κατανάλωση (απαράδεκτα υψηλή ανεργία, αβεβαιότητα, συρρίκνωση του διαθέσιμου εισοδήματος, </w:t>
      </w:r>
      <w:proofErr w:type="spellStart"/>
      <w:r w:rsidRPr="00A00BDE">
        <w:rPr>
          <w:rFonts w:ascii="Times New Roman" w:hAnsi="Times New Roman" w:cs="Times New Roman"/>
        </w:rPr>
        <w:t>υπερφορολόγηση</w:t>
      </w:r>
      <w:proofErr w:type="spellEnd"/>
      <w:r w:rsidRPr="00A00BDE">
        <w:rPr>
          <w:rFonts w:ascii="Times New Roman" w:hAnsi="Times New Roman" w:cs="Times New Roman"/>
        </w:rPr>
        <w:t>, έλλειψη ρευστότητας κ.ά.)</w:t>
      </w:r>
    </w:p>
    <w:p w:rsidR="00B62EE8" w:rsidRPr="00B62EE8" w:rsidRDefault="00B62EE8" w:rsidP="00B62EE8">
      <w:pPr>
        <w:spacing w:after="0" w:line="360" w:lineRule="atLeast"/>
        <w:jc w:val="both"/>
        <w:rPr>
          <w:rFonts w:ascii="Times New Roman" w:hAnsi="Times New Roman" w:cs="Times New Roman"/>
          <w:sz w:val="24"/>
          <w:szCs w:val="24"/>
        </w:rPr>
      </w:pPr>
    </w:p>
    <w:p w:rsidR="00B62EE8" w:rsidRPr="00A00BDE" w:rsidRDefault="00B62EE8" w:rsidP="00B62EE8">
      <w:pPr>
        <w:spacing w:after="0" w:line="360" w:lineRule="atLeast"/>
        <w:ind w:left="-567" w:right="-625"/>
        <w:jc w:val="both"/>
        <w:rPr>
          <w:rFonts w:ascii="Times New Roman" w:hAnsi="Times New Roman" w:cs="Times New Roman"/>
        </w:rPr>
      </w:pPr>
      <w:r w:rsidRPr="00A00BDE">
        <w:rPr>
          <w:rFonts w:ascii="Times New Roman" w:hAnsi="Times New Roman" w:cs="Times New Roman"/>
          <w:b/>
        </w:rPr>
        <w:t>Πίνακας 2:</w:t>
      </w:r>
      <w:r w:rsidRPr="00A00BDE">
        <w:rPr>
          <w:rFonts w:ascii="Times New Roman" w:hAnsi="Times New Roman" w:cs="Times New Roman"/>
        </w:rPr>
        <w:t xml:space="preserve"> Εξέλιξη του Δείκτη Κύκλου Εργασιών (ΔΚΕ) στο Λιανικό Εμπόριο* τους μήνες Μάιο και Νοέμβριο, απόλυτες τιμές και ετήσιες ποσοστιαίες μεταβολές (</w:t>
      </w:r>
      <w:r w:rsidRPr="00A00BDE">
        <w:rPr>
          <w:rFonts w:ascii="Times New Roman" w:hAnsi="Times New Roman" w:cs="Times New Roman"/>
          <w:lang w:val="en-US"/>
        </w:rPr>
        <w:t>y</w:t>
      </w:r>
      <w:r w:rsidRPr="00A00BDE">
        <w:rPr>
          <w:rFonts w:ascii="Times New Roman" w:hAnsi="Times New Roman" w:cs="Times New Roman"/>
        </w:rPr>
        <w:t>-</w:t>
      </w:r>
      <w:r w:rsidRPr="00A00BDE">
        <w:rPr>
          <w:rFonts w:ascii="Times New Roman" w:hAnsi="Times New Roman" w:cs="Times New Roman"/>
          <w:lang w:val="en-US"/>
        </w:rPr>
        <w:t>o</w:t>
      </w:r>
      <w:r w:rsidRPr="00A00BDE">
        <w:rPr>
          <w:rFonts w:ascii="Times New Roman" w:hAnsi="Times New Roman" w:cs="Times New Roman"/>
        </w:rPr>
        <w:t>-</w:t>
      </w:r>
      <w:r w:rsidRPr="00A00BDE">
        <w:rPr>
          <w:rFonts w:ascii="Times New Roman" w:hAnsi="Times New Roman" w:cs="Times New Roman"/>
          <w:lang w:val="en-US"/>
        </w:rPr>
        <w:t>y</w:t>
      </w:r>
      <w:r w:rsidRPr="00A00BDE">
        <w:rPr>
          <w:rFonts w:ascii="Times New Roman" w:hAnsi="Times New Roman" w:cs="Times New Roman"/>
        </w:rPr>
        <w:t>), 2010 = 100,0</w:t>
      </w:r>
    </w:p>
    <w:tbl>
      <w:tblPr>
        <w:tblStyle w:val="a5"/>
        <w:tblW w:w="0" w:type="auto"/>
        <w:jc w:val="center"/>
        <w:tblInd w:w="-885" w:type="dxa"/>
        <w:tblLook w:val="04A0"/>
      </w:tblPr>
      <w:tblGrid>
        <w:gridCol w:w="2088"/>
        <w:gridCol w:w="876"/>
        <w:gridCol w:w="1309"/>
        <w:gridCol w:w="848"/>
        <w:gridCol w:w="1267"/>
        <w:gridCol w:w="876"/>
        <w:gridCol w:w="1267"/>
        <w:gridCol w:w="876"/>
      </w:tblGrid>
      <w:tr w:rsidR="00B62EE8" w:rsidRPr="00A00BDE" w:rsidTr="00B62EE8">
        <w:trPr>
          <w:jc w:val="center"/>
        </w:trPr>
        <w:tc>
          <w:tcPr>
            <w:tcW w:w="2087" w:type="dxa"/>
            <w:vMerge w:val="restart"/>
            <w:tcBorders>
              <w:top w:val="single" w:sz="18" w:space="0" w:color="auto"/>
              <w:left w:val="single" w:sz="18" w:space="0" w:color="auto"/>
              <w:right w:val="single" w:sz="12" w:space="0" w:color="auto"/>
            </w:tcBorders>
          </w:tcPr>
          <w:p w:rsidR="00B62EE8" w:rsidRPr="00A00BDE" w:rsidRDefault="00B62EE8" w:rsidP="00B62EE8">
            <w:pPr>
              <w:spacing w:line="360" w:lineRule="atLeast"/>
              <w:jc w:val="both"/>
              <w:rPr>
                <w:rFonts w:ascii="Times New Roman" w:hAnsi="Times New Roman" w:cs="Times New Roman"/>
              </w:rPr>
            </w:pPr>
          </w:p>
        </w:tc>
        <w:tc>
          <w:tcPr>
            <w:tcW w:w="5163" w:type="dxa"/>
            <w:gridSpan w:val="5"/>
            <w:tcBorders>
              <w:top w:val="single" w:sz="18" w:space="0" w:color="auto"/>
              <w:left w:val="single" w:sz="12" w:space="0" w:color="auto"/>
              <w:right w:val="single" w:sz="12" w:space="0" w:color="auto"/>
            </w:tcBorders>
            <w:vAlign w:val="center"/>
          </w:tcPr>
          <w:p w:rsidR="00B62EE8" w:rsidRPr="00A00BDE" w:rsidRDefault="00B62EE8" w:rsidP="00B62EE8">
            <w:pPr>
              <w:spacing w:line="360" w:lineRule="atLeast"/>
              <w:jc w:val="center"/>
              <w:rPr>
                <w:rFonts w:ascii="Times New Roman" w:hAnsi="Times New Roman" w:cs="Times New Roman"/>
                <w:b/>
              </w:rPr>
            </w:pPr>
            <w:r w:rsidRPr="00A00BDE">
              <w:rPr>
                <w:rFonts w:ascii="Times New Roman" w:hAnsi="Times New Roman" w:cs="Times New Roman"/>
                <w:b/>
              </w:rPr>
              <w:t>Χωρίς Ενδιάμεσες Εκπτώσεις</w:t>
            </w:r>
          </w:p>
        </w:tc>
        <w:tc>
          <w:tcPr>
            <w:tcW w:w="0" w:type="auto"/>
            <w:gridSpan w:val="2"/>
            <w:tcBorders>
              <w:top w:val="single" w:sz="18" w:space="0" w:color="auto"/>
              <w:left w:val="single" w:sz="12" w:space="0" w:color="auto"/>
              <w:right w:val="single" w:sz="18" w:space="0" w:color="auto"/>
            </w:tcBorders>
            <w:shd w:val="clear" w:color="auto" w:fill="F2DBDB" w:themeFill="accent2" w:themeFillTint="33"/>
            <w:vAlign w:val="center"/>
          </w:tcPr>
          <w:p w:rsidR="00B62EE8" w:rsidRPr="00A00BDE" w:rsidRDefault="00B62EE8" w:rsidP="00B62EE8">
            <w:pPr>
              <w:spacing w:line="360" w:lineRule="atLeast"/>
              <w:jc w:val="center"/>
              <w:rPr>
                <w:rFonts w:ascii="Times New Roman" w:hAnsi="Times New Roman" w:cs="Times New Roman"/>
                <w:b/>
              </w:rPr>
            </w:pPr>
            <w:r w:rsidRPr="00A00BDE">
              <w:rPr>
                <w:rFonts w:ascii="Times New Roman" w:hAnsi="Times New Roman" w:cs="Times New Roman"/>
                <w:b/>
              </w:rPr>
              <w:t>Ενδιάμεσες Εκπτώσεις</w:t>
            </w:r>
          </w:p>
        </w:tc>
      </w:tr>
      <w:tr w:rsidR="00B62EE8" w:rsidRPr="00A00BDE" w:rsidTr="00B62EE8">
        <w:trPr>
          <w:jc w:val="center"/>
        </w:trPr>
        <w:tc>
          <w:tcPr>
            <w:tcW w:w="2087" w:type="dxa"/>
            <w:vMerge/>
            <w:tcBorders>
              <w:left w:val="single" w:sz="18" w:space="0" w:color="auto"/>
              <w:bottom w:val="single" w:sz="12" w:space="0" w:color="auto"/>
              <w:right w:val="single" w:sz="12" w:space="0" w:color="auto"/>
            </w:tcBorders>
          </w:tcPr>
          <w:p w:rsidR="00B62EE8" w:rsidRPr="00A00BDE" w:rsidRDefault="00B62EE8" w:rsidP="00B62EE8">
            <w:pPr>
              <w:spacing w:line="360" w:lineRule="atLeast"/>
              <w:jc w:val="both"/>
              <w:rPr>
                <w:rFonts w:ascii="Times New Roman" w:hAnsi="Times New Roman" w:cs="Times New Roman"/>
              </w:rPr>
            </w:pPr>
          </w:p>
        </w:tc>
        <w:tc>
          <w:tcPr>
            <w:tcW w:w="0" w:type="auto"/>
            <w:tcBorders>
              <w:left w:val="single" w:sz="12" w:space="0" w:color="auto"/>
              <w:bottom w:val="single" w:sz="12" w:space="0" w:color="auto"/>
              <w:right w:val="single" w:sz="12" w:space="0" w:color="auto"/>
            </w:tcBorders>
            <w:vAlign w:val="center"/>
          </w:tcPr>
          <w:p w:rsidR="00B62EE8" w:rsidRPr="00A00BDE" w:rsidRDefault="00B62EE8" w:rsidP="00B62EE8">
            <w:pPr>
              <w:spacing w:line="360" w:lineRule="atLeast"/>
              <w:jc w:val="center"/>
              <w:rPr>
                <w:rFonts w:ascii="Times New Roman" w:hAnsi="Times New Roman" w:cs="Times New Roman"/>
                <w:b/>
              </w:rPr>
            </w:pPr>
            <w:r w:rsidRPr="00A00BDE">
              <w:rPr>
                <w:rFonts w:ascii="Times New Roman" w:hAnsi="Times New Roman" w:cs="Times New Roman"/>
                <w:b/>
              </w:rPr>
              <w:t>Μάιος 2011</w:t>
            </w:r>
          </w:p>
        </w:tc>
        <w:tc>
          <w:tcPr>
            <w:tcW w:w="1309" w:type="dxa"/>
            <w:tcBorders>
              <w:left w:val="single" w:sz="12" w:space="0" w:color="auto"/>
              <w:bottom w:val="single" w:sz="12" w:space="0" w:color="auto"/>
              <w:right w:val="single" w:sz="12" w:space="0" w:color="auto"/>
            </w:tcBorders>
            <w:vAlign w:val="center"/>
          </w:tcPr>
          <w:p w:rsidR="00B62EE8" w:rsidRPr="00A00BDE" w:rsidRDefault="00B62EE8" w:rsidP="00B62EE8">
            <w:pPr>
              <w:spacing w:line="360" w:lineRule="atLeast"/>
              <w:jc w:val="center"/>
              <w:rPr>
                <w:rFonts w:ascii="Times New Roman" w:hAnsi="Times New Roman" w:cs="Times New Roman"/>
                <w:b/>
              </w:rPr>
            </w:pPr>
            <w:r w:rsidRPr="00A00BDE">
              <w:rPr>
                <w:rFonts w:ascii="Times New Roman" w:hAnsi="Times New Roman" w:cs="Times New Roman"/>
                <w:b/>
              </w:rPr>
              <w:t>Νοέμβριος 2011</w:t>
            </w:r>
          </w:p>
        </w:tc>
        <w:tc>
          <w:tcPr>
            <w:tcW w:w="848" w:type="dxa"/>
            <w:tcBorders>
              <w:left w:val="single" w:sz="12" w:space="0" w:color="auto"/>
              <w:bottom w:val="single" w:sz="12" w:space="0" w:color="auto"/>
              <w:right w:val="single" w:sz="12" w:space="0" w:color="auto"/>
            </w:tcBorders>
            <w:vAlign w:val="center"/>
          </w:tcPr>
          <w:p w:rsidR="00B62EE8" w:rsidRPr="00A00BDE" w:rsidRDefault="00B62EE8" w:rsidP="00B62EE8">
            <w:pPr>
              <w:spacing w:line="360" w:lineRule="atLeast"/>
              <w:jc w:val="center"/>
              <w:rPr>
                <w:rFonts w:ascii="Times New Roman" w:hAnsi="Times New Roman" w:cs="Times New Roman"/>
                <w:b/>
              </w:rPr>
            </w:pPr>
            <w:r w:rsidRPr="00A00BDE">
              <w:rPr>
                <w:rFonts w:ascii="Times New Roman" w:hAnsi="Times New Roman" w:cs="Times New Roman"/>
                <w:b/>
              </w:rPr>
              <w:t>Μάιος 2012</w:t>
            </w:r>
          </w:p>
        </w:tc>
        <w:tc>
          <w:tcPr>
            <w:tcW w:w="0" w:type="auto"/>
            <w:tcBorders>
              <w:left w:val="single" w:sz="12" w:space="0" w:color="auto"/>
              <w:bottom w:val="single" w:sz="12" w:space="0" w:color="auto"/>
              <w:right w:val="single" w:sz="12" w:space="0" w:color="auto"/>
            </w:tcBorders>
            <w:vAlign w:val="center"/>
          </w:tcPr>
          <w:p w:rsidR="00B62EE8" w:rsidRPr="00A00BDE" w:rsidRDefault="00B62EE8" w:rsidP="00B62EE8">
            <w:pPr>
              <w:spacing w:line="360" w:lineRule="atLeast"/>
              <w:jc w:val="center"/>
              <w:rPr>
                <w:rFonts w:ascii="Times New Roman" w:hAnsi="Times New Roman" w:cs="Times New Roman"/>
                <w:b/>
              </w:rPr>
            </w:pPr>
            <w:r w:rsidRPr="00A00BDE">
              <w:rPr>
                <w:rFonts w:ascii="Times New Roman" w:hAnsi="Times New Roman" w:cs="Times New Roman"/>
                <w:b/>
              </w:rPr>
              <w:t>Νοέμβριος 2012</w:t>
            </w:r>
          </w:p>
        </w:tc>
        <w:tc>
          <w:tcPr>
            <w:tcW w:w="0" w:type="auto"/>
            <w:tcBorders>
              <w:left w:val="single" w:sz="12" w:space="0" w:color="auto"/>
              <w:bottom w:val="single" w:sz="12" w:space="0" w:color="auto"/>
              <w:right w:val="single" w:sz="12" w:space="0" w:color="auto"/>
            </w:tcBorders>
            <w:vAlign w:val="center"/>
          </w:tcPr>
          <w:p w:rsidR="00B62EE8" w:rsidRPr="00A00BDE" w:rsidRDefault="00B62EE8" w:rsidP="00B62EE8">
            <w:pPr>
              <w:spacing w:line="360" w:lineRule="atLeast"/>
              <w:jc w:val="center"/>
              <w:rPr>
                <w:rFonts w:ascii="Times New Roman" w:hAnsi="Times New Roman" w:cs="Times New Roman"/>
                <w:b/>
              </w:rPr>
            </w:pPr>
            <w:r w:rsidRPr="00A00BDE">
              <w:rPr>
                <w:rFonts w:ascii="Times New Roman" w:hAnsi="Times New Roman" w:cs="Times New Roman"/>
                <w:b/>
              </w:rPr>
              <w:t>Μάιος 2013</w:t>
            </w:r>
          </w:p>
        </w:tc>
        <w:tc>
          <w:tcPr>
            <w:tcW w:w="0" w:type="auto"/>
            <w:tcBorders>
              <w:left w:val="single" w:sz="12" w:space="0" w:color="auto"/>
              <w:bottom w:val="single" w:sz="12" w:space="0" w:color="auto"/>
            </w:tcBorders>
            <w:shd w:val="clear" w:color="auto" w:fill="F2DBDB" w:themeFill="accent2" w:themeFillTint="33"/>
            <w:vAlign w:val="center"/>
          </w:tcPr>
          <w:p w:rsidR="00B62EE8" w:rsidRPr="00A00BDE" w:rsidRDefault="00B62EE8" w:rsidP="00B62EE8">
            <w:pPr>
              <w:spacing w:line="360" w:lineRule="atLeast"/>
              <w:jc w:val="center"/>
              <w:rPr>
                <w:rFonts w:ascii="Times New Roman" w:hAnsi="Times New Roman" w:cs="Times New Roman"/>
                <w:b/>
              </w:rPr>
            </w:pPr>
            <w:r w:rsidRPr="00A00BDE">
              <w:rPr>
                <w:rFonts w:ascii="Times New Roman" w:hAnsi="Times New Roman" w:cs="Times New Roman"/>
                <w:b/>
              </w:rPr>
              <w:t>Νοέμβριος 2013</w:t>
            </w:r>
          </w:p>
        </w:tc>
        <w:tc>
          <w:tcPr>
            <w:tcW w:w="0" w:type="auto"/>
            <w:tcBorders>
              <w:bottom w:val="single" w:sz="12" w:space="0" w:color="auto"/>
              <w:right w:val="single" w:sz="18" w:space="0" w:color="auto"/>
            </w:tcBorders>
            <w:shd w:val="clear" w:color="auto" w:fill="F2DBDB" w:themeFill="accent2" w:themeFillTint="33"/>
            <w:vAlign w:val="center"/>
          </w:tcPr>
          <w:p w:rsidR="00B62EE8" w:rsidRPr="00A00BDE" w:rsidRDefault="00B62EE8" w:rsidP="00B62EE8">
            <w:pPr>
              <w:spacing w:line="360" w:lineRule="atLeast"/>
              <w:jc w:val="center"/>
              <w:rPr>
                <w:rFonts w:ascii="Times New Roman" w:hAnsi="Times New Roman" w:cs="Times New Roman"/>
                <w:b/>
              </w:rPr>
            </w:pPr>
            <w:r w:rsidRPr="00A00BDE">
              <w:rPr>
                <w:rFonts w:ascii="Times New Roman" w:hAnsi="Times New Roman" w:cs="Times New Roman"/>
                <w:b/>
              </w:rPr>
              <w:t>Μάιος 2014</w:t>
            </w:r>
          </w:p>
        </w:tc>
      </w:tr>
      <w:tr w:rsidR="00B62EE8" w:rsidRPr="00A00BDE" w:rsidTr="00B62EE8">
        <w:trPr>
          <w:jc w:val="center"/>
        </w:trPr>
        <w:tc>
          <w:tcPr>
            <w:tcW w:w="2087" w:type="dxa"/>
            <w:tcBorders>
              <w:top w:val="single" w:sz="12" w:space="0" w:color="auto"/>
              <w:left w:val="single" w:sz="18" w:space="0" w:color="auto"/>
              <w:right w:val="single" w:sz="12" w:space="0" w:color="auto"/>
            </w:tcBorders>
          </w:tcPr>
          <w:p w:rsidR="00B62EE8" w:rsidRPr="00A00BDE" w:rsidRDefault="00B62EE8" w:rsidP="00B62EE8">
            <w:pPr>
              <w:spacing w:line="360" w:lineRule="atLeast"/>
              <w:jc w:val="both"/>
              <w:rPr>
                <w:rFonts w:ascii="Times New Roman" w:hAnsi="Times New Roman" w:cs="Times New Roman"/>
                <w:b/>
              </w:rPr>
            </w:pPr>
            <w:r w:rsidRPr="00A00BDE">
              <w:rPr>
                <w:rFonts w:ascii="Times New Roman" w:hAnsi="Times New Roman" w:cs="Times New Roman"/>
                <w:b/>
              </w:rPr>
              <w:t>ΔΚΕ</w:t>
            </w:r>
          </w:p>
        </w:tc>
        <w:tc>
          <w:tcPr>
            <w:tcW w:w="0" w:type="auto"/>
            <w:tcBorders>
              <w:top w:val="single" w:sz="12" w:space="0" w:color="auto"/>
              <w:left w:val="single" w:sz="12" w:space="0" w:color="auto"/>
              <w:right w:val="single" w:sz="12" w:space="0" w:color="auto"/>
            </w:tcBorders>
            <w:vAlign w:val="center"/>
          </w:tcPr>
          <w:p w:rsidR="00B62EE8" w:rsidRPr="00A00BDE" w:rsidRDefault="00B62EE8" w:rsidP="00B62EE8">
            <w:pPr>
              <w:spacing w:line="360" w:lineRule="atLeast"/>
              <w:jc w:val="center"/>
              <w:rPr>
                <w:rFonts w:ascii="Times New Roman" w:hAnsi="Times New Roman" w:cs="Times New Roman"/>
              </w:rPr>
            </w:pPr>
            <w:r w:rsidRPr="00A00BDE">
              <w:rPr>
                <w:rFonts w:ascii="Times New Roman" w:hAnsi="Times New Roman" w:cs="Times New Roman"/>
              </w:rPr>
              <w:t>88,5</w:t>
            </w:r>
          </w:p>
        </w:tc>
        <w:tc>
          <w:tcPr>
            <w:tcW w:w="1309" w:type="dxa"/>
            <w:tcBorders>
              <w:top w:val="single" w:sz="12" w:space="0" w:color="auto"/>
              <w:left w:val="single" w:sz="12" w:space="0" w:color="auto"/>
              <w:right w:val="single" w:sz="12" w:space="0" w:color="auto"/>
            </w:tcBorders>
            <w:vAlign w:val="center"/>
          </w:tcPr>
          <w:p w:rsidR="00B62EE8" w:rsidRPr="00A00BDE" w:rsidRDefault="00B62EE8" w:rsidP="00B62EE8">
            <w:pPr>
              <w:spacing w:line="360" w:lineRule="atLeast"/>
              <w:jc w:val="center"/>
              <w:rPr>
                <w:rFonts w:ascii="Times New Roman" w:hAnsi="Times New Roman" w:cs="Times New Roman"/>
              </w:rPr>
            </w:pPr>
            <w:r w:rsidRPr="00A00BDE">
              <w:rPr>
                <w:rFonts w:ascii="Times New Roman" w:hAnsi="Times New Roman" w:cs="Times New Roman"/>
              </w:rPr>
              <w:t>87,3</w:t>
            </w:r>
          </w:p>
        </w:tc>
        <w:tc>
          <w:tcPr>
            <w:tcW w:w="848" w:type="dxa"/>
            <w:tcBorders>
              <w:top w:val="single" w:sz="12" w:space="0" w:color="auto"/>
              <w:left w:val="single" w:sz="12" w:space="0" w:color="auto"/>
              <w:right w:val="single" w:sz="12" w:space="0" w:color="auto"/>
            </w:tcBorders>
            <w:vAlign w:val="center"/>
          </w:tcPr>
          <w:p w:rsidR="00B62EE8" w:rsidRPr="00A00BDE" w:rsidRDefault="00B62EE8" w:rsidP="00B62EE8">
            <w:pPr>
              <w:spacing w:line="360" w:lineRule="atLeast"/>
              <w:jc w:val="center"/>
              <w:rPr>
                <w:rFonts w:ascii="Times New Roman" w:hAnsi="Times New Roman" w:cs="Times New Roman"/>
              </w:rPr>
            </w:pPr>
            <w:r w:rsidRPr="00A00BDE">
              <w:rPr>
                <w:rFonts w:ascii="Times New Roman" w:hAnsi="Times New Roman" w:cs="Times New Roman"/>
              </w:rPr>
              <w:t>80,9</w:t>
            </w:r>
          </w:p>
        </w:tc>
        <w:tc>
          <w:tcPr>
            <w:tcW w:w="0" w:type="auto"/>
            <w:tcBorders>
              <w:top w:val="single" w:sz="12" w:space="0" w:color="auto"/>
              <w:left w:val="single" w:sz="12" w:space="0" w:color="auto"/>
              <w:right w:val="single" w:sz="12" w:space="0" w:color="auto"/>
            </w:tcBorders>
            <w:vAlign w:val="center"/>
          </w:tcPr>
          <w:p w:rsidR="00B62EE8" w:rsidRPr="00A00BDE" w:rsidRDefault="00B62EE8" w:rsidP="00B62EE8">
            <w:pPr>
              <w:spacing w:line="360" w:lineRule="atLeast"/>
              <w:jc w:val="center"/>
              <w:rPr>
                <w:rFonts w:ascii="Times New Roman" w:hAnsi="Times New Roman" w:cs="Times New Roman"/>
              </w:rPr>
            </w:pPr>
            <w:r w:rsidRPr="00A00BDE">
              <w:rPr>
                <w:rFonts w:ascii="Times New Roman" w:hAnsi="Times New Roman" w:cs="Times New Roman"/>
              </w:rPr>
              <w:t>72,5</w:t>
            </w:r>
          </w:p>
        </w:tc>
        <w:tc>
          <w:tcPr>
            <w:tcW w:w="0" w:type="auto"/>
            <w:tcBorders>
              <w:top w:val="single" w:sz="12" w:space="0" w:color="auto"/>
              <w:left w:val="single" w:sz="12" w:space="0" w:color="auto"/>
              <w:right w:val="single" w:sz="12" w:space="0" w:color="auto"/>
            </w:tcBorders>
            <w:vAlign w:val="center"/>
          </w:tcPr>
          <w:p w:rsidR="00B62EE8" w:rsidRPr="00A00BDE" w:rsidRDefault="00B62EE8" w:rsidP="00B62EE8">
            <w:pPr>
              <w:spacing w:line="360" w:lineRule="atLeast"/>
              <w:jc w:val="center"/>
              <w:rPr>
                <w:rFonts w:ascii="Times New Roman" w:hAnsi="Times New Roman" w:cs="Times New Roman"/>
              </w:rPr>
            </w:pPr>
            <w:r w:rsidRPr="00A00BDE">
              <w:rPr>
                <w:rFonts w:ascii="Times New Roman" w:hAnsi="Times New Roman" w:cs="Times New Roman"/>
              </w:rPr>
              <w:t>78,3</w:t>
            </w:r>
          </w:p>
        </w:tc>
        <w:tc>
          <w:tcPr>
            <w:tcW w:w="0" w:type="auto"/>
            <w:tcBorders>
              <w:top w:val="single" w:sz="12" w:space="0" w:color="auto"/>
              <w:left w:val="single" w:sz="12" w:space="0" w:color="auto"/>
            </w:tcBorders>
            <w:shd w:val="clear" w:color="auto" w:fill="F2DBDB" w:themeFill="accent2" w:themeFillTint="33"/>
            <w:vAlign w:val="center"/>
          </w:tcPr>
          <w:p w:rsidR="00B62EE8" w:rsidRPr="00A00BDE" w:rsidRDefault="00B62EE8" w:rsidP="00B62EE8">
            <w:pPr>
              <w:spacing w:line="360" w:lineRule="atLeast"/>
              <w:jc w:val="center"/>
              <w:rPr>
                <w:rFonts w:ascii="Times New Roman" w:hAnsi="Times New Roman" w:cs="Times New Roman"/>
              </w:rPr>
            </w:pPr>
            <w:r w:rsidRPr="00A00BDE">
              <w:rPr>
                <w:rFonts w:ascii="Times New Roman" w:hAnsi="Times New Roman" w:cs="Times New Roman"/>
              </w:rPr>
              <w:t>72,3</w:t>
            </w:r>
          </w:p>
        </w:tc>
        <w:tc>
          <w:tcPr>
            <w:tcW w:w="0" w:type="auto"/>
            <w:tcBorders>
              <w:top w:val="single" w:sz="12" w:space="0" w:color="auto"/>
              <w:right w:val="single" w:sz="18" w:space="0" w:color="auto"/>
            </w:tcBorders>
            <w:shd w:val="clear" w:color="auto" w:fill="F2DBDB" w:themeFill="accent2" w:themeFillTint="33"/>
            <w:vAlign w:val="center"/>
          </w:tcPr>
          <w:p w:rsidR="00B62EE8" w:rsidRPr="00A00BDE" w:rsidRDefault="00B62EE8" w:rsidP="00B62EE8">
            <w:pPr>
              <w:spacing w:line="360" w:lineRule="atLeast"/>
              <w:jc w:val="center"/>
              <w:rPr>
                <w:rFonts w:ascii="Times New Roman" w:hAnsi="Times New Roman" w:cs="Times New Roman"/>
              </w:rPr>
            </w:pPr>
            <w:r w:rsidRPr="00A00BDE">
              <w:rPr>
                <w:rFonts w:ascii="Times New Roman" w:hAnsi="Times New Roman" w:cs="Times New Roman"/>
              </w:rPr>
              <w:t>71,4</w:t>
            </w:r>
          </w:p>
        </w:tc>
      </w:tr>
      <w:tr w:rsidR="00B62EE8" w:rsidRPr="00A00BDE" w:rsidTr="00B62EE8">
        <w:trPr>
          <w:jc w:val="center"/>
        </w:trPr>
        <w:tc>
          <w:tcPr>
            <w:tcW w:w="2087" w:type="dxa"/>
            <w:tcBorders>
              <w:left w:val="single" w:sz="18" w:space="0" w:color="auto"/>
              <w:bottom w:val="single" w:sz="18" w:space="0" w:color="auto"/>
              <w:right w:val="single" w:sz="12" w:space="0" w:color="auto"/>
            </w:tcBorders>
          </w:tcPr>
          <w:p w:rsidR="00B62EE8" w:rsidRPr="00A00BDE" w:rsidRDefault="00B62EE8" w:rsidP="00B62EE8">
            <w:pPr>
              <w:spacing w:line="360" w:lineRule="atLeast"/>
              <w:jc w:val="both"/>
              <w:rPr>
                <w:rFonts w:ascii="Times New Roman" w:hAnsi="Times New Roman" w:cs="Times New Roman"/>
                <w:b/>
              </w:rPr>
            </w:pPr>
            <w:r w:rsidRPr="00A00BDE">
              <w:rPr>
                <w:rFonts w:ascii="Times New Roman" w:hAnsi="Times New Roman" w:cs="Times New Roman"/>
                <w:b/>
              </w:rPr>
              <w:t>Μεταβολή (%) ΔΚΕ</w:t>
            </w:r>
          </w:p>
        </w:tc>
        <w:tc>
          <w:tcPr>
            <w:tcW w:w="0" w:type="auto"/>
            <w:tcBorders>
              <w:left w:val="single" w:sz="12" w:space="0" w:color="auto"/>
              <w:bottom w:val="single" w:sz="18" w:space="0" w:color="auto"/>
              <w:right w:val="single" w:sz="12" w:space="0" w:color="auto"/>
            </w:tcBorders>
            <w:vAlign w:val="center"/>
          </w:tcPr>
          <w:p w:rsidR="00B62EE8" w:rsidRPr="00A00BDE" w:rsidRDefault="00B62EE8" w:rsidP="00B62EE8">
            <w:pPr>
              <w:spacing w:line="360" w:lineRule="atLeast"/>
              <w:jc w:val="center"/>
              <w:rPr>
                <w:rFonts w:ascii="Times New Roman" w:hAnsi="Times New Roman" w:cs="Times New Roman"/>
                <w:b/>
              </w:rPr>
            </w:pPr>
            <w:r w:rsidRPr="00A00BDE">
              <w:rPr>
                <w:rFonts w:ascii="Times New Roman" w:hAnsi="Times New Roman" w:cs="Times New Roman"/>
                <w:b/>
              </w:rPr>
              <w:t>-8,7%</w:t>
            </w:r>
          </w:p>
        </w:tc>
        <w:tc>
          <w:tcPr>
            <w:tcW w:w="1309" w:type="dxa"/>
            <w:tcBorders>
              <w:left w:val="single" w:sz="12" w:space="0" w:color="auto"/>
              <w:bottom w:val="single" w:sz="18" w:space="0" w:color="auto"/>
              <w:right w:val="single" w:sz="12" w:space="0" w:color="auto"/>
            </w:tcBorders>
            <w:vAlign w:val="center"/>
          </w:tcPr>
          <w:p w:rsidR="00B62EE8" w:rsidRPr="00A00BDE" w:rsidRDefault="00B62EE8" w:rsidP="00B62EE8">
            <w:pPr>
              <w:spacing w:line="360" w:lineRule="atLeast"/>
              <w:jc w:val="center"/>
              <w:rPr>
                <w:rFonts w:ascii="Times New Roman" w:hAnsi="Times New Roman" w:cs="Times New Roman"/>
                <w:b/>
              </w:rPr>
            </w:pPr>
            <w:r w:rsidRPr="00A00BDE">
              <w:rPr>
                <w:rFonts w:ascii="Times New Roman" w:hAnsi="Times New Roman" w:cs="Times New Roman"/>
                <w:b/>
              </w:rPr>
              <w:t>-5,1%</w:t>
            </w:r>
          </w:p>
        </w:tc>
        <w:tc>
          <w:tcPr>
            <w:tcW w:w="848" w:type="dxa"/>
            <w:tcBorders>
              <w:left w:val="single" w:sz="12" w:space="0" w:color="auto"/>
              <w:bottom w:val="single" w:sz="18" w:space="0" w:color="auto"/>
              <w:right w:val="single" w:sz="12" w:space="0" w:color="auto"/>
            </w:tcBorders>
            <w:vAlign w:val="center"/>
          </w:tcPr>
          <w:p w:rsidR="00B62EE8" w:rsidRPr="00A00BDE" w:rsidRDefault="00B62EE8" w:rsidP="00B62EE8">
            <w:pPr>
              <w:spacing w:line="360" w:lineRule="atLeast"/>
              <w:jc w:val="center"/>
              <w:rPr>
                <w:rFonts w:ascii="Times New Roman" w:hAnsi="Times New Roman" w:cs="Times New Roman"/>
                <w:b/>
              </w:rPr>
            </w:pPr>
            <w:r w:rsidRPr="00A00BDE">
              <w:rPr>
                <w:rFonts w:ascii="Times New Roman" w:hAnsi="Times New Roman" w:cs="Times New Roman"/>
                <w:b/>
              </w:rPr>
              <w:t>-8,6%</w:t>
            </w:r>
          </w:p>
        </w:tc>
        <w:tc>
          <w:tcPr>
            <w:tcW w:w="0" w:type="auto"/>
            <w:tcBorders>
              <w:left w:val="single" w:sz="12" w:space="0" w:color="auto"/>
              <w:bottom w:val="single" w:sz="18" w:space="0" w:color="auto"/>
              <w:right w:val="single" w:sz="12" w:space="0" w:color="auto"/>
            </w:tcBorders>
            <w:vAlign w:val="center"/>
          </w:tcPr>
          <w:p w:rsidR="00B62EE8" w:rsidRPr="00A00BDE" w:rsidRDefault="00B62EE8" w:rsidP="00B62EE8">
            <w:pPr>
              <w:spacing w:line="360" w:lineRule="atLeast"/>
              <w:jc w:val="center"/>
              <w:rPr>
                <w:rFonts w:ascii="Times New Roman" w:hAnsi="Times New Roman" w:cs="Times New Roman"/>
                <w:b/>
              </w:rPr>
            </w:pPr>
            <w:r w:rsidRPr="00A00BDE">
              <w:rPr>
                <w:rFonts w:ascii="Times New Roman" w:hAnsi="Times New Roman" w:cs="Times New Roman"/>
                <w:b/>
              </w:rPr>
              <w:t>-17,0%</w:t>
            </w:r>
          </w:p>
        </w:tc>
        <w:tc>
          <w:tcPr>
            <w:tcW w:w="0" w:type="auto"/>
            <w:tcBorders>
              <w:left w:val="single" w:sz="12" w:space="0" w:color="auto"/>
              <w:bottom w:val="single" w:sz="18" w:space="0" w:color="auto"/>
              <w:right w:val="single" w:sz="12" w:space="0" w:color="auto"/>
            </w:tcBorders>
            <w:vAlign w:val="center"/>
          </w:tcPr>
          <w:p w:rsidR="00B62EE8" w:rsidRPr="00A00BDE" w:rsidRDefault="00B62EE8" w:rsidP="00B62EE8">
            <w:pPr>
              <w:spacing w:line="360" w:lineRule="atLeast"/>
              <w:jc w:val="center"/>
              <w:rPr>
                <w:rFonts w:ascii="Times New Roman" w:hAnsi="Times New Roman" w:cs="Times New Roman"/>
                <w:b/>
              </w:rPr>
            </w:pPr>
            <w:r w:rsidRPr="00A00BDE">
              <w:rPr>
                <w:rFonts w:ascii="Times New Roman" w:hAnsi="Times New Roman" w:cs="Times New Roman"/>
                <w:b/>
              </w:rPr>
              <w:t>-3,2%</w:t>
            </w:r>
          </w:p>
        </w:tc>
        <w:tc>
          <w:tcPr>
            <w:tcW w:w="0" w:type="auto"/>
            <w:tcBorders>
              <w:left w:val="single" w:sz="12" w:space="0" w:color="auto"/>
              <w:bottom w:val="single" w:sz="18" w:space="0" w:color="auto"/>
            </w:tcBorders>
            <w:shd w:val="clear" w:color="auto" w:fill="F2DBDB" w:themeFill="accent2" w:themeFillTint="33"/>
            <w:vAlign w:val="center"/>
          </w:tcPr>
          <w:p w:rsidR="00B62EE8" w:rsidRPr="00A00BDE" w:rsidRDefault="00B62EE8" w:rsidP="00B62EE8">
            <w:pPr>
              <w:spacing w:line="360" w:lineRule="atLeast"/>
              <w:jc w:val="center"/>
              <w:rPr>
                <w:rFonts w:ascii="Times New Roman" w:hAnsi="Times New Roman" w:cs="Times New Roman"/>
                <w:b/>
              </w:rPr>
            </w:pPr>
            <w:r w:rsidRPr="00A00BDE">
              <w:rPr>
                <w:rFonts w:ascii="Times New Roman" w:hAnsi="Times New Roman" w:cs="Times New Roman"/>
                <w:b/>
              </w:rPr>
              <w:t>-0,3%</w:t>
            </w:r>
          </w:p>
        </w:tc>
        <w:tc>
          <w:tcPr>
            <w:tcW w:w="0" w:type="auto"/>
            <w:tcBorders>
              <w:bottom w:val="single" w:sz="18" w:space="0" w:color="auto"/>
              <w:right w:val="single" w:sz="18" w:space="0" w:color="auto"/>
            </w:tcBorders>
            <w:shd w:val="clear" w:color="auto" w:fill="F2DBDB" w:themeFill="accent2" w:themeFillTint="33"/>
            <w:vAlign w:val="center"/>
          </w:tcPr>
          <w:p w:rsidR="00B62EE8" w:rsidRPr="00A00BDE" w:rsidRDefault="00B62EE8" w:rsidP="00B62EE8">
            <w:pPr>
              <w:spacing w:line="360" w:lineRule="atLeast"/>
              <w:jc w:val="center"/>
              <w:rPr>
                <w:rFonts w:ascii="Times New Roman" w:hAnsi="Times New Roman" w:cs="Times New Roman"/>
                <w:b/>
              </w:rPr>
            </w:pPr>
            <w:r w:rsidRPr="00A00BDE">
              <w:rPr>
                <w:rFonts w:ascii="Times New Roman" w:hAnsi="Times New Roman" w:cs="Times New Roman"/>
                <w:b/>
              </w:rPr>
              <w:t>-8,8%</w:t>
            </w:r>
          </w:p>
        </w:tc>
      </w:tr>
    </w:tbl>
    <w:p w:rsidR="00B62EE8" w:rsidRPr="00B62EE8" w:rsidRDefault="00B62EE8" w:rsidP="00B62EE8">
      <w:pPr>
        <w:spacing w:after="0" w:line="240" w:lineRule="auto"/>
        <w:ind w:left="-567"/>
        <w:jc w:val="both"/>
        <w:rPr>
          <w:rFonts w:ascii="Times New Roman" w:hAnsi="Times New Roman" w:cs="Times New Roman"/>
          <w:i/>
          <w:sz w:val="18"/>
          <w:szCs w:val="18"/>
        </w:rPr>
      </w:pPr>
      <w:r w:rsidRPr="00B62EE8">
        <w:rPr>
          <w:rFonts w:ascii="Times New Roman" w:hAnsi="Times New Roman" w:cs="Times New Roman"/>
          <w:b/>
          <w:i/>
          <w:sz w:val="18"/>
          <w:szCs w:val="18"/>
        </w:rPr>
        <w:t>Πηγή:</w:t>
      </w:r>
      <w:r w:rsidRPr="00B62EE8">
        <w:rPr>
          <w:rFonts w:ascii="Times New Roman" w:hAnsi="Times New Roman" w:cs="Times New Roman"/>
          <w:i/>
          <w:sz w:val="18"/>
          <w:szCs w:val="18"/>
        </w:rPr>
        <w:t xml:space="preserve"> ΕΛ.ΣΤΑΤ. – Επεξεργασία στοιχείων ΙΝ.ΕΜ.Υ. της ΕΣΕΕ</w:t>
      </w:r>
    </w:p>
    <w:p w:rsidR="00B62EE8" w:rsidRPr="00B62EE8" w:rsidRDefault="00B62EE8" w:rsidP="00B62EE8">
      <w:pPr>
        <w:spacing w:after="0" w:line="240" w:lineRule="auto"/>
        <w:ind w:left="-567" w:right="-58"/>
        <w:jc w:val="both"/>
        <w:rPr>
          <w:rFonts w:ascii="Times New Roman" w:hAnsi="Times New Roman" w:cs="Times New Roman"/>
          <w:i/>
          <w:sz w:val="18"/>
          <w:szCs w:val="18"/>
        </w:rPr>
      </w:pPr>
      <w:r w:rsidRPr="00B62EE8">
        <w:rPr>
          <w:rFonts w:ascii="Times New Roman" w:hAnsi="Times New Roman" w:cs="Times New Roman"/>
          <w:i/>
          <w:sz w:val="18"/>
          <w:szCs w:val="18"/>
        </w:rPr>
        <w:t xml:space="preserve">*: Εξαιρουμένων των καυσίμων και των λιπαντικών.  </w:t>
      </w:r>
    </w:p>
    <w:p w:rsidR="00B62EE8" w:rsidRPr="00B62EE8" w:rsidRDefault="00B62EE8" w:rsidP="00B62EE8">
      <w:pPr>
        <w:spacing w:after="0" w:line="240" w:lineRule="auto"/>
        <w:ind w:left="-567" w:right="-483"/>
        <w:jc w:val="both"/>
        <w:rPr>
          <w:rFonts w:ascii="Times New Roman" w:hAnsi="Times New Roman" w:cs="Times New Roman"/>
          <w:i/>
          <w:sz w:val="18"/>
          <w:szCs w:val="18"/>
        </w:rPr>
      </w:pPr>
      <w:r w:rsidRPr="00B62EE8">
        <w:rPr>
          <w:rFonts w:ascii="Times New Roman" w:hAnsi="Times New Roman" w:cs="Times New Roman"/>
          <w:i/>
          <w:sz w:val="18"/>
          <w:szCs w:val="18"/>
        </w:rPr>
        <w:t>Οι ποσοστιαίες μεταβολές έχουν υπολογιστεί με βάση τον αντίστοιχο μήνα του προηγούμενου έτους (y-o-y).</w:t>
      </w:r>
    </w:p>
    <w:p w:rsidR="00B62EE8" w:rsidRPr="00B62EE8" w:rsidRDefault="00B62EE8" w:rsidP="00B62EE8">
      <w:pPr>
        <w:spacing w:after="0" w:line="360" w:lineRule="atLeast"/>
        <w:jc w:val="both"/>
        <w:rPr>
          <w:rFonts w:ascii="Cambria" w:hAnsi="Cambria"/>
          <w:sz w:val="18"/>
          <w:szCs w:val="18"/>
        </w:rPr>
      </w:pPr>
    </w:p>
    <w:p w:rsidR="00B62EE8" w:rsidRPr="00A00BDE" w:rsidRDefault="00B62EE8" w:rsidP="00B62EE8">
      <w:pPr>
        <w:spacing w:after="0" w:line="360" w:lineRule="atLeast"/>
        <w:jc w:val="both"/>
        <w:rPr>
          <w:rFonts w:ascii="Times New Roman" w:hAnsi="Times New Roman" w:cs="Times New Roman"/>
        </w:rPr>
      </w:pPr>
      <w:r w:rsidRPr="00A00BDE">
        <w:rPr>
          <w:rFonts w:ascii="Times New Roman" w:hAnsi="Times New Roman" w:cs="Times New Roman"/>
        </w:rPr>
        <w:t xml:space="preserve">Συγκεκριμένα, η εφαρμογή του μέτρου των ενδιάμεσων εκπτώσεων για πρώτη φορά των Νοέμβριο του 2013 φάνηκε να λειτουργεί ευεργετικά στον κύκλο εργασιών των επιχειρήσεων λιανικού εμπορίου. Οι πωλήσεις σταθεροποιήθηκαν στα περσινά επίπεδα και είχαν δημιουργηθεί προσδοκίες για ενίσχυση του τζίρου τον Μάιο του 2014, οπότε και θα λειτουργούσε ο θεσμός για δεύτερη φορά. Τις αισιόδοξες προσδοκίες για βελτίωση του τζίρου τροφοδοτούσαν επίσης αφενός </w:t>
      </w:r>
      <w:r w:rsidRPr="00A00BDE">
        <w:rPr>
          <w:rFonts w:ascii="Times New Roman" w:hAnsi="Times New Roman" w:cs="Times New Roman"/>
          <w:b/>
        </w:rPr>
        <w:t>α)</w:t>
      </w:r>
      <w:r w:rsidRPr="00A00BDE">
        <w:rPr>
          <w:rFonts w:ascii="Times New Roman" w:hAnsi="Times New Roman" w:cs="Times New Roman"/>
        </w:rPr>
        <w:t xml:space="preserve"> οι εκτιμήσεις για άνοδο της τουριστικής κίνησης και </w:t>
      </w:r>
      <w:r w:rsidRPr="00A00BDE">
        <w:rPr>
          <w:rFonts w:ascii="Times New Roman" w:hAnsi="Times New Roman" w:cs="Times New Roman"/>
          <w:b/>
        </w:rPr>
        <w:t>β)</w:t>
      </w:r>
      <w:r w:rsidRPr="00A00BDE">
        <w:rPr>
          <w:rFonts w:ascii="Times New Roman" w:hAnsi="Times New Roman" w:cs="Times New Roman"/>
        </w:rPr>
        <w:t xml:space="preserve"> τα πολλαπλά μηνύματα για σταθεροποίηση της ελληνικής οικονομίας.</w:t>
      </w:r>
      <w:r w:rsidR="00EA49FF" w:rsidRPr="00A00BDE">
        <w:rPr>
          <w:rFonts w:ascii="Times New Roman" w:hAnsi="Times New Roman" w:cs="Times New Roman"/>
        </w:rPr>
        <w:t xml:space="preserve"> </w:t>
      </w:r>
    </w:p>
    <w:p w:rsidR="00B62EE8" w:rsidRPr="00A00BDE" w:rsidRDefault="00B62EE8" w:rsidP="00A00BDE">
      <w:pPr>
        <w:spacing w:before="80" w:after="0" w:line="360" w:lineRule="atLeast"/>
        <w:jc w:val="both"/>
        <w:rPr>
          <w:rFonts w:ascii="Times New Roman" w:hAnsi="Times New Roman" w:cs="Times New Roman"/>
        </w:rPr>
      </w:pPr>
      <w:r w:rsidRPr="00A00BDE">
        <w:rPr>
          <w:rFonts w:ascii="Times New Roman" w:hAnsi="Times New Roman" w:cs="Times New Roman"/>
        </w:rPr>
        <w:t xml:space="preserve">Ωστόσο, η υποχώρηση του κύκλου εργασιών τον Μάιο ήταν η χειρότερη των τελευταίων τεσσάρων ετών, γεγονός που αποτέλεσε δυσάρεστη έκπληξη. Η ΕΣΕΕ, είχε από την αρχή επισημάνει πως χωρίς τη μόνιμη και ουσιαστική ενίσχυση του διαθέσιμου εισοδήματος των καταναλωτών σε συνδυασμό με τη βελτίωση της αγοράς εργασίας και των συνθηκών ρευστότητας καθώς και την ριζική ελάφρυνση των φορολογικών επιβαρύνσεων, μέτρα τύπου ενδιάμεσων εκπτώσεων προωθητικών ενεργειών και προσφορών δεν θα επιφέρουν αξιόλογα αποτελέσματα. Απλά οι καταναλωτές θα αναδιανείμουν τις αγορές τους μεταξύ των μηνών, χωρίς τόνωση των καταναλωτικών δαπανών.  Η αντιφατική εικόνα επαναλαμβάνεται και κατά την εξέταση των «κανονικών» περιόδων εκπτώσεων. Παρά το γεγονός ότι η κρίση και η αβεβαιότητα κορυφώθηκαν τα έτη 2011/ 2012, η πτώση του κύκλου εργασιών το 2013 κατά τη διάρκεια των εκπτώσεων, είτε επρόκειτο για τη χειμερινή είτε για τη θερινή περίοδο, ήταν η υψηλότερη των τελευταίων ετών. Η αγοραστική κίνηση το 2013 δεν φάνηκε να επηρεάζεται από τις πρώτες ενδείξεις σταθεροποίησης της ελληνικής οικονομίας, αφού τα </w:t>
      </w:r>
      <w:r w:rsidRPr="00A00BDE">
        <w:rPr>
          <w:rFonts w:ascii="Times New Roman" w:hAnsi="Times New Roman" w:cs="Times New Roman"/>
        </w:rPr>
        <w:lastRenderedPageBreak/>
        <w:t>προβλήματα και οι προκλήσεις παραμένουν. Η εξέλιξη αυτή επιβεβαιώνει τις θέσεις της ΕΣΕΕ σχετικά με την ανάγκη βελτίωσης του ευρύτερου μακροοικονομικού περιβάλλοντ</w:t>
      </w:r>
      <w:r w:rsidR="00EA49FF" w:rsidRPr="00A00BDE">
        <w:rPr>
          <w:rFonts w:ascii="Times New Roman" w:hAnsi="Times New Roman" w:cs="Times New Roman"/>
        </w:rPr>
        <w:t xml:space="preserve">ος (διαθέσιμο εισόδημα, ανεργία, </w:t>
      </w:r>
      <w:proofErr w:type="spellStart"/>
      <w:r w:rsidR="00EA49FF" w:rsidRPr="00A00BDE">
        <w:rPr>
          <w:rFonts w:ascii="Times New Roman" w:hAnsi="Times New Roman" w:cs="Times New Roman"/>
        </w:rPr>
        <w:t>υπερφορολόγηση</w:t>
      </w:r>
      <w:proofErr w:type="spellEnd"/>
      <w:r w:rsidR="00EA49FF" w:rsidRPr="00A00BDE">
        <w:rPr>
          <w:rFonts w:ascii="Times New Roman" w:hAnsi="Times New Roman" w:cs="Times New Roman"/>
        </w:rPr>
        <w:t xml:space="preserve"> </w:t>
      </w:r>
      <w:r w:rsidRPr="00A00BDE">
        <w:rPr>
          <w:rFonts w:ascii="Times New Roman" w:hAnsi="Times New Roman" w:cs="Times New Roman"/>
        </w:rPr>
        <w:t>κλπ) αλλά και των συνθηκών ρευστότητας στην αγορά. Επιβράδυνση της πτώσης του τζίρου παρουσιάστηκε κατά την περίοδο των χειμερινών εκπτώσεων του 2014 ενώ η μη διάθεση στατιστικών δεδομένων για τις φετινές, θερινές εκπτώσεις, εμποδίζει την εξαγωγή ασφαλέστερων συμπερασμάτων.</w:t>
      </w:r>
    </w:p>
    <w:p w:rsidR="00B62EE8" w:rsidRPr="00A00BDE" w:rsidRDefault="00B62EE8" w:rsidP="00A00BDE">
      <w:pPr>
        <w:spacing w:before="80" w:after="0" w:line="360" w:lineRule="atLeast"/>
        <w:ind w:left="-992" w:right="-907"/>
        <w:jc w:val="both"/>
        <w:rPr>
          <w:rFonts w:ascii="Times New Roman" w:hAnsi="Times New Roman" w:cs="Times New Roman"/>
          <w:sz w:val="20"/>
          <w:szCs w:val="20"/>
        </w:rPr>
      </w:pPr>
      <w:r w:rsidRPr="00A00BDE">
        <w:rPr>
          <w:rFonts w:ascii="Times New Roman" w:hAnsi="Times New Roman" w:cs="Times New Roman"/>
          <w:b/>
          <w:sz w:val="20"/>
          <w:szCs w:val="20"/>
        </w:rPr>
        <w:t>Πίνακας 3:</w:t>
      </w:r>
      <w:r w:rsidRPr="00A00BDE">
        <w:rPr>
          <w:rFonts w:ascii="Times New Roman" w:hAnsi="Times New Roman" w:cs="Times New Roman"/>
          <w:sz w:val="20"/>
          <w:szCs w:val="20"/>
        </w:rPr>
        <w:t xml:space="preserve"> Εξέλιξη του Δείκτη Κύκλου Εργασιών (ΔΚΕ) στο Λιανικό Εμπόριο* την περίοδο των χειμερινών και θερινών εκπτώσεων**, απόλυτες τιμές και ετήσιες ποσοστιαίες μεταβολές (</w:t>
      </w:r>
      <w:r w:rsidRPr="00A00BDE">
        <w:rPr>
          <w:rFonts w:ascii="Times New Roman" w:hAnsi="Times New Roman" w:cs="Times New Roman"/>
          <w:sz w:val="20"/>
          <w:szCs w:val="20"/>
          <w:lang w:val="en-US"/>
        </w:rPr>
        <w:t>y</w:t>
      </w:r>
      <w:r w:rsidRPr="00A00BDE">
        <w:rPr>
          <w:rFonts w:ascii="Times New Roman" w:hAnsi="Times New Roman" w:cs="Times New Roman"/>
          <w:sz w:val="20"/>
          <w:szCs w:val="20"/>
        </w:rPr>
        <w:t>-</w:t>
      </w:r>
      <w:r w:rsidRPr="00A00BDE">
        <w:rPr>
          <w:rFonts w:ascii="Times New Roman" w:hAnsi="Times New Roman" w:cs="Times New Roman"/>
          <w:sz w:val="20"/>
          <w:szCs w:val="20"/>
          <w:lang w:val="en-US"/>
        </w:rPr>
        <w:t>o</w:t>
      </w:r>
      <w:r w:rsidRPr="00A00BDE">
        <w:rPr>
          <w:rFonts w:ascii="Times New Roman" w:hAnsi="Times New Roman" w:cs="Times New Roman"/>
          <w:sz w:val="20"/>
          <w:szCs w:val="20"/>
        </w:rPr>
        <w:t>-</w:t>
      </w:r>
      <w:r w:rsidRPr="00A00BDE">
        <w:rPr>
          <w:rFonts w:ascii="Times New Roman" w:hAnsi="Times New Roman" w:cs="Times New Roman"/>
          <w:sz w:val="20"/>
          <w:szCs w:val="20"/>
          <w:lang w:val="en-US"/>
        </w:rPr>
        <w:t>y</w:t>
      </w:r>
      <w:r w:rsidRPr="00A00BDE">
        <w:rPr>
          <w:rFonts w:ascii="Times New Roman" w:hAnsi="Times New Roman" w:cs="Times New Roman"/>
          <w:sz w:val="20"/>
          <w:szCs w:val="20"/>
        </w:rPr>
        <w:t>), 2010 = 100,0</w:t>
      </w:r>
    </w:p>
    <w:tbl>
      <w:tblPr>
        <w:tblStyle w:val="a5"/>
        <w:tblW w:w="0" w:type="auto"/>
        <w:jc w:val="center"/>
        <w:tblInd w:w="-1729" w:type="dxa"/>
        <w:tblLook w:val="04A0"/>
      </w:tblPr>
      <w:tblGrid>
        <w:gridCol w:w="1403"/>
        <w:gridCol w:w="1319"/>
        <w:gridCol w:w="1043"/>
        <w:gridCol w:w="1349"/>
        <w:gridCol w:w="1173"/>
        <w:gridCol w:w="1319"/>
        <w:gridCol w:w="1173"/>
        <w:gridCol w:w="1472"/>
      </w:tblGrid>
      <w:tr w:rsidR="00B62EE8" w:rsidRPr="00B62EE8" w:rsidTr="00B62EE8">
        <w:trPr>
          <w:jc w:val="center"/>
        </w:trPr>
        <w:tc>
          <w:tcPr>
            <w:tcW w:w="1403" w:type="dxa"/>
            <w:tcBorders>
              <w:top w:val="single" w:sz="18" w:space="0" w:color="auto"/>
              <w:left w:val="single" w:sz="18" w:space="0" w:color="auto"/>
              <w:bottom w:val="single" w:sz="12" w:space="0" w:color="auto"/>
              <w:right w:val="single" w:sz="12" w:space="0" w:color="auto"/>
            </w:tcBorders>
          </w:tcPr>
          <w:p w:rsidR="00B62EE8" w:rsidRPr="00B62EE8" w:rsidRDefault="00B62EE8" w:rsidP="00B62EE8">
            <w:pPr>
              <w:spacing w:line="360" w:lineRule="atLeast"/>
              <w:jc w:val="both"/>
              <w:rPr>
                <w:rFonts w:ascii="Times New Roman" w:hAnsi="Times New Roman" w:cs="Times New Roman"/>
                <w:sz w:val="24"/>
                <w:szCs w:val="24"/>
              </w:rPr>
            </w:pPr>
          </w:p>
        </w:tc>
        <w:tc>
          <w:tcPr>
            <w:tcW w:w="0" w:type="auto"/>
            <w:tcBorders>
              <w:top w:val="single" w:sz="18" w:space="0" w:color="auto"/>
              <w:left w:val="single" w:sz="12" w:space="0" w:color="auto"/>
              <w:bottom w:val="single" w:sz="12" w:space="0" w:color="auto"/>
              <w:right w:val="single" w:sz="12" w:space="0" w:color="auto"/>
            </w:tcBorders>
            <w:vAlign w:val="center"/>
          </w:tcPr>
          <w:p w:rsidR="00B62EE8" w:rsidRPr="00B62EE8" w:rsidRDefault="00B62EE8" w:rsidP="00B62EE8">
            <w:pPr>
              <w:spacing w:line="360" w:lineRule="atLeast"/>
              <w:jc w:val="center"/>
              <w:rPr>
                <w:rFonts w:ascii="Times New Roman" w:hAnsi="Times New Roman" w:cs="Times New Roman"/>
                <w:b/>
                <w:sz w:val="24"/>
                <w:szCs w:val="24"/>
              </w:rPr>
            </w:pPr>
            <w:r w:rsidRPr="00B62EE8">
              <w:rPr>
                <w:rFonts w:ascii="Times New Roman" w:hAnsi="Times New Roman" w:cs="Times New Roman"/>
                <w:b/>
                <w:sz w:val="24"/>
                <w:szCs w:val="24"/>
              </w:rPr>
              <w:t>Χειμερινές</w:t>
            </w:r>
          </w:p>
          <w:p w:rsidR="00B62EE8" w:rsidRPr="00B62EE8" w:rsidRDefault="00B62EE8" w:rsidP="00B62EE8">
            <w:pPr>
              <w:spacing w:line="360" w:lineRule="atLeast"/>
              <w:jc w:val="center"/>
              <w:rPr>
                <w:rFonts w:ascii="Times New Roman" w:hAnsi="Times New Roman" w:cs="Times New Roman"/>
                <w:b/>
                <w:sz w:val="24"/>
                <w:szCs w:val="24"/>
              </w:rPr>
            </w:pPr>
            <w:r w:rsidRPr="00B62EE8">
              <w:rPr>
                <w:rFonts w:ascii="Times New Roman" w:hAnsi="Times New Roman" w:cs="Times New Roman"/>
                <w:b/>
                <w:sz w:val="24"/>
                <w:szCs w:val="24"/>
              </w:rPr>
              <w:t>2011</w:t>
            </w:r>
          </w:p>
        </w:tc>
        <w:tc>
          <w:tcPr>
            <w:tcW w:w="1043" w:type="dxa"/>
            <w:tcBorders>
              <w:top w:val="single" w:sz="18" w:space="0" w:color="auto"/>
              <w:left w:val="single" w:sz="12" w:space="0" w:color="auto"/>
              <w:bottom w:val="single" w:sz="12" w:space="0" w:color="auto"/>
              <w:right w:val="single" w:sz="12" w:space="0" w:color="auto"/>
            </w:tcBorders>
            <w:vAlign w:val="center"/>
          </w:tcPr>
          <w:p w:rsidR="00B62EE8" w:rsidRPr="00B62EE8" w:rsidRDefault="00B62EE8" w:rsidP="00B62EE8">
            <w:pPr>
              <w:spacing w:line="360" w:lineRule="atLeast"/>
              <w:jc w:val="center"/>
              <w:rPr>
                <w:rFonts w:ascii="Times New Roman" w:hAnsi="Times New Roman" w:cs="Times New Roman"/>
                <w:b/>
                <w:sz w:val="24"/>
                <w:szCs w:val="24"/>
              </w:rPr>
            </w:pPr>
            <w:r w:rsidRPr="00B62EE8">
              <w:rPr>
                <w:rFonts w:ascii="Times New Roman" w:hAnsi="Times New Roman" w:cs="Times New Roman"/>
                <w:b/>
                <w:sz w:val="24"/>
                <w:szCs w:val="24"/>
              </w:rPr>
              <w:t>Θερινές 2011</w:t>
            </w:r>
          </w:p>
        </w:tc>
        <w:tc>
          <w:tcPr>
            <w:tcW w:w="1349" w:type="dxa"/>
            <w:tcBorders>
              <w:top w:val="single" w:sz="18" w:space="0" w:color="auto"/>
              <w:left w:val="single" w:sz="12" w:space="0" w:color="auto"/>
              <w:bottom w:val="single" w:sz="12" w:space="0" w:color="auto"/>
              <w:right w:val="single" w:sz="12" w:space="0" w:color="auto"/>
            </w:tcBorders>
            <w:vAlign w:val="center"/>
          </w:tcPr>
          <w:p w:rsidR="00B62EE8" w:rsidRPr="00B62EE8" w:rsidRDefault="00B62EE8" w:rsidP="00B62EE8">
            <w:pPr>
              <w:spacing w:line="360" w:lineRule="atLeast"/>
              <w:jc w:val="center"/>
              <w:rPr>
                <w:rFonts w:ascii="Times New Roman" w:hAnsi="Times New Roman" w:cs="Times New Roman"/>
                <w:b/>
                <w:sz w:val="24"/>
                <w:szCs w:val="24"/>
              </w:rPr>
            </w:pPr>
            <w:r w:rsidRPr="00B62EE8">
              <w:rPr>
                <w:rFonts w:ascii="Times New Roman" w:hAnsi="Times New Roman" w:cs="Times New Roman"/>
                <w:b/>
                <w:sz w:val="24"/>
                <w:szCs w:val="24"/>
              </w:rPr>
              <w:t>Χειμερινές 2012</w:t>
            </w:r>
          </w:p>
        </w:tc>
        <w:tc>
          <w:tcPr>
            <w:tcW w:w="0" w:type="auto"/>
            <w:tcBorders>
              <w:top w:val="single" w:sz="18" w:space="0" w:color="auto"/>
              <w:left w:val="single" w:sz="12" w:space="0" w:color="auto"/>
              <w:bottom w:val="single" w:sz="12" w:space="0" w:color="auto"/>
              <w:right w:val="single" w:sz="12" w:space="0" w:color="auto"/>
            </w:tcBorders>
            <w:vAlign w:val="center"/>
          </w:tcPr>
          <w:p w:rsidR="00B62EE8" w:rsidRPr="00B62EE8" w:rsidRDefault="00B62EE8" w:rsidP="00B62EE8">
            <w:pPr>
              <w:spacing w:line="360" w:lineRule="atLeast"/>
              <w:jc w:val="center"/>
              <w:rPr>
                <w:rFonts w:ascii="Times New Roman" w:hAnsi="Times New Roman" w:cs="Times New Roman"/>
                <w:b/>
                <w:sz w:val="24"/>
                <w:szCs w:val="24"/>
              </w:rPr>
            </w:pPr>
            <w:r w:rsidRPr="00B62EE8">
              <w:rPr>
                <w:rFonts w:ascii="Times New Roman" w:hAnsi="Times New Roman" w:cs="Times New Roman"/>
                <w:b/>
                <w:sz w:val="24"/>
                <w:szCs w:val="24"/>
              </w:rPr>
              <w:t>Θερινές 2012</w:t>
            </w:r>
          </w:p>
        </w:tc>
        <w:tc>
          <w:tcPr>
            <w:tcW w:w="0" w:type="auto"/>
            <w:tcBorders>
              <w:top w:val="single" w:sz="18" w:space="0" w:color="auto"/>
              <w:left w:val="single" w:sz="12" w:space="0" w:color="auto"/>
              <w:bottom w:val="single" w:sz="12" w:space="0" w:color="auto"/>
              <w:right w:val="single" w:sz="12" w:space="0" w:color="auto"/>
            </w:tcBorders>
            <w:vAlign w:val="center"/>
          </w:tcPr>
          <w:p w:rsidR="00B62EE8" w:rsidRPr="00B62EE8" w:rsidRDefault="00B62EE8" w:rsidP="00B62EE8">
            <w:pPr>
              <w:spacing w:line="360" w:lineRule="atLeast"/>
              <w:jc w:val="center"/>
              <w:rPr>
                <w:rFonts w:ascii="Times New Roman" w:hAnsi="Times New Roman" w:cs="Times New Roman"/>
                <w:b/>
                <w:sz w:val="24"/>
                <w:szCs w:val="24"/>
              </w:rPr>
            </w:pPr>
            <w:r w:rsidRPr="00B62EE8">
              <w:rPr>
                <w:rFonts w:ascii="Times New Roman" w:hAnsi="Times New Roman" w:cs="Times New Roman"/>
                <w:b/>
                <w:sz w:val="24"/>
                <w:szCs w:val="24"/>
              </w:rPr>
              <w:t>Χειμερινές</w:t>
            </w:r>
          </w:p>
          <w:p w:rsidR="00B62EE8" w:rsidRPr="00B62EE8" w:rsidRDefault="00B62EE8" w:rsidP="00B62EE8">
            <w:pPr>
              <w:spacing w:line="360" w:lineRule="atLeast"/>
              <w:jc w:val="center"/>
              <w:rPr>
                <w:rFonts w:ascii="Times New Roman" w:hAnsi="Times New Roman" w:cs="Times New Roman"/>
                <w:b/>
                <w:sz w:val="24"/>
                <w:szCs w:val="24"/>
              </w:rPr>
            </w:pPr>
            <w:r w:rsidRPr="00B62EE8">
              <w:rPr>
                <w:rFonts w:ascii="Times New Roman" w:hAnsi="Times New Roman" w:cs="Times New Roman"/>
                <w:b/>
                <w:sz w:val="24"/>
                <w:szCs w:val="24"/>
              </w:rPr>
              <w:t>2013</w:t>
            </w:r>
          </w:p>
        </w:tc>
        <w:tc>
          <w:tcPr>
            <w:tcW w:w="0" w:type="auto"/>
            <w:tcBorders>
              <w:top w:val="single" w:sz="18" w:space="0" w:color="auto"/>
              <w:left w:val="single" w:sz="12" w:space="0" w:color="auto"/>
              <w:bottom w:val="single" w:sz="12" w:space="0" w:color="auto"/>
            </w:tcBorders>
            <w:shd w:val="clear" w:color="auto" w:fill="auto"/>
            <w:vAlign w:val="center"/>
          </w:tcPr>
          <w:p w:rsidR="00B62EE8" w:rsidRPr="00B62EE8" w:rsidRDefault="00B62EE8" w:rsidP="00B62EE8">
            <w:pPr>
              <w:spacing w:line="360" w:lineRule="atLeast"/>
              <w:jc w:val="center"/>
              <w:rPr>
                <w:rFonts w:ascii="Times New Roman" w:hAnsi="Times New Roman" w:cs="Times New Roman"/>
                <w:b/>
                <w:sz w:val="24"/>
                <w:szCs w:val="24"/>
              </w:rPr>
            </w:pPr>
            <w:r w:rsidRPr="00B62EE8">
              <w:rPr>
                <w:rFonts w:ascii="Times New Roman" w:hAnsi="Times New Roman" w:cs="Times New Roman"/>
                <w:b/>
                <w:sz w:val="24"/>
                <w:szCs w:val="24"/>
              </w:rPr>
              <w:t>Θερινές 2013</w:t>
            </w:r>
          </w:p>
        </w:tc>
        <w:tc>
          <w:tcPr>
            <w:tcW w:w="0" w:type="auto"/>
            <w:tcBorders>
              <w:top w:val="single" w:sz="18" w:space="0" w:color="auto"/>
              <w:bottom w:val="single" w:sz="12" w:space="0" w:color="auto"/>
              <w:right w:val="single" w:sz="18" w:space="0" w:color="auto"/>
            </w:tcBorders>
            <w:shd w:val="clear" w:color="auto" w:fill="auto"/>
            <w:vAlign w:val="center"/>
          </w:tcPr>
          <w:p w:rsidR="00B62EE8" w:rsidRPr="00B62EE8" w:rsidRDefault="00B62EE8" w:rsidP="00B62EE8">
            <w:pPr>
              <w:spacing w:line="360" w:lineRule="atLeast"/>
              <w:jc w:val="center"/>
              <w:rPr>
                <w:rFonts w:ascii="Times New Roman" w:hAnsi="Times New Roman" w:cs="Times New Roman"/>
                <w:b/>
                <w:sz w:val="24"/>
                <w:szCs w:val="24"/>
              </w:rPr>
            </w:pPr>
            <w:r w:rsidRPr="00B62EE8">
              <w:rPr>
                <w:rFonts w:ascii="Times New Roman" w:hAnsi="Times New Roman" w:cs="Times New Roman"/>
                <w:b/>
                <w:sz w:val="24"/>
                <w:szCs w:val="24"/>
              </w:rPr>
              <w:t>Χειμερινές 2014</w:t>
            </w:r>
          </w:p>
        </w:tc>
      </w:tr>
      <w:tr w:rsidR="00B62EE8" w:rsidRPr="00B62EE8" w:rsidTr="00B62EE8">
        <w:trPr>
          <w:jc w:val="center"/>
        </w:trPr>
        <w:tc>
          <w:tcPr>
            <w:tcW w:w="1403" w:type="dxa"/>
            <w:tcBorders>
              <w:top w:val="single" w:sz="12" w:space="0" w:color="auto"/>
              <w:left w:val="single" w:sz="18" w:space="0" w:color="auto"/>
              <w:right w:val="single" w:sz="12" w:space="0" w:color="auto"/>
            </w:tcBorders>
          </w:tcPr>
          <w:p w:rsidR="00B62EE8" w:rsidRPr="00B62EE8" w:rsidRDefault="00B62EE8" w:rsidP="00B62EE8">
            <w:pPr>
              <w:spacing w:line="360" w:lineRule="atLeast"/>
              <w:jc w:val="both"/>
              <w:rPr>
                <w:rFonts w:ascii="Times New Roman" w:hAnsi="Times New Roman" w:cs="Times New Roman"/>
                <w:b/>
                <w:sz w:val="24"/>
                <w:szCs w:val="24"/>
              </w:rPr>
            </w:pPr>
            <w:r w:rsidRPr="00B62EE8">
              <w:rPr>
                <w:rFonts w:ascii="Times New Roman" w:hAnsi="Times New Roman" w:cs="Times New Roman"/>
                <w:b/>
                <w:sz w:val="24"/>
                <w:szCs w:val="24"/>
              </w:rPr>
              <w:t>ΔΚΕ</w:t>
            </w:r>
          </w:p>
        </w:tc>
        <w:tc>
          <w:tcPr>
            <w:tcW w:w="0" w:type="auto"/>
            <w:tcBorders>
              <w:top w:val="single" w:sz="12" w:space="0" w:color="auto"/>
              <w:left w:val="single" w:sz="12" w:space="0" w:color="auto"/>
              <w:right w:val="single" w:sz="12" w:space="0" w:color="auto"/>
            </w:tcBorders>
            <w:vAlign w:val="center"/>
          </w:tcPr>
          <w:p w:rsidR="00B62EE8" w:rsidRPr="00B62EE8" w:rsidRDefault="00B62EE8" w:rsidP="00B62EE8">
            <w:pPr>
              <w:spacing w:line="360" w:lineRule="atLeast"/>
              <w:jc w:val="center"/>
              <w:rPr>
                <w:rFonts w:ascii="Times New Roman" w:hAnsi="Times New Roman" w:cs="Times New Roman"/>
                <w:sz w:val="24"/>
                <w:szCs w:val="24"/>
              </w:rPr>
            </w:pPr>
            <w:r w:rsidRPr="00B62EE8">
              <w:rPr>
                <w:rFonts w:ascii="Times New Roman" w:hAnsi="Times New Roman" w:cs="Times New Roman"/>
                <w:sz w:val="24"/>
                <w:szCs w:val="24"/>
              </w:rPr>
              <w:t>92,6</w:t>
            </w:r>
          </w:p>
        </w:tc>
        <w:tc>
          <w:tcPr>
            <w:tcW w:w="1043" w:type="dxa"/>
            <w:tcBorders>
              <w:top w:val="single" w:sz="12" w:space="0" w:color="auto"/>
              <w:left w:val="single" w:sz="12" w:space="0" w:color="auto"/>
              <w:right w:val="single" w:sz="12" w:space="0" w:color="auto"/>
            </w:tcBorders>
            <w:vAlign w:val="center"/>
          </w:tcPr>
          <w:p w:rsidR="00B62EE8" w:rsidRPr="00B62EE8" w:rsidRDefault="00B62EE8" w:rsidP="00B62EE8">
            <w:pPr>
              <w:spacing w:line="360" w:lineRule="atLeast"/>
              <w:jc w:val="center"/>
              <w:rPr>
                <w:rFonts w:ascii="Times New Roman" w:hAnsi="Times New Roman" w:cs="Times New Roman"/>
                <w:sz w:val="24"/>
                <w:szCs w:val="24"/>
              </w:rPr>
            </w:pPr>
            <w:r w:rsidRPr="00B62EE8">
              <w:rPr>
                <w:rFonts w:ascii="Times New Roman" w:hAnsi="Times New Roman" w:cs="Times New Roman"/>
                <w:sz w:val="24"/>
                <w:szCs w:val="24"/>
              </w:rPr>
              <w:t>91,4</w:t>
            </w:r>
          </w:p>
        </w:tc>
        <w:tc>
          <w:tcPr>
            <w:tcW w:w="1349" w:type="dxa"/>
            <w:tcBorders>
              <w:top w:val="single" w:sz="12" w:space="0" w:color="auto"/>
              <w:left w:val="single" w:sz="12" w:space="0" w:color="auto"/>
              <w:right w:val="single" w:sz="12" w:space="0" w:color="auto"/>
            </w:tcBorders>
            <w:vAlign w:val="center"/>
          </w:tcPr>
          <w:p w:rsidR="00B62EE8" w:rsidRPr="00B62EE8" w:rsidRDefault="00B62EE8" w:rsidP="00B62EE8">
            <w:pPr>
              <w:spacing w:line="360" w:lineRule="atLeast"/>
              <w:jc w:val="center"/>
              <w:rPr>
                <w:rFonts w:ascii="Times New Roman" w:hAnsi="Times New Roman" w:cs="Times New Roman"/>
                <w:sz w:val="24"/>
                <w:szCs w:val="24"/>
              </w:rPr>
            </w:pPr>
            <w:r w:rsidRPr="00B62EE8">
              <w:rPr>
                <w:rFonts w:ascii="Times New Roman" w:hAnsi="Times New Roman" w:cs="Times New Roman"/>
                <w:sz w:val="24"/>
                <w:szCs w:val="24"/>
              </w:rPr>
              <w:t>83,2</w:t>
            </w:r>
          </w:p>
        </w:tc>
        <w:tc>
          <w:tcPr>
            <w:tcW w:w="0" w:type="auto"/>
            <w:tcBorders>
              <w:top w:val="single" w:sz="12" w:space="0" w:color="auto"/>
              <w:left w:val="single" w:sz="12" w:space="0" w:color="auto"/>
              <w:right w:val="single" w:sz="12" w:space="0" w:color="auto"/>
            </w:tcBorders>
            <w:vAlign w:val="center"/>
          </w:tcPr>
          <w:p w:rsidR="00B62EE8" w:rsidRPr="00B62EE8" w:rsidRDefault="00B62EE8" w:rsidP="00B62EE8">
            <w:pPr>
              <w:spacing w:line="360" w:lineRule="atLeast"/>
              <w:jc w:val="center"/>
              <w:rPr>
                <w:rFonts w:ascii="Times New Roman" w:hAnsi="Times New Roman" w:cs="Times New Roman"/>
                <w:sz w:val="24"/>
                <w:szCs w:val="24"/>
              </w:rPr>
            </w:pPr>
            <w:r w:rsidRPr="00B62EE8">
              <w:rPr>
                <w:rFonts w:ascii="Times New Roman" w:hAnsi="Times New Roman" w:cs="Times New Roman"/>
                <w:sz w:val="24"/>
                <w:szCs w:val="24"/>
              </w:rPr>
              <w:t>83,8</w:t>
            </w:r>
          </w:p>
        </w:tc>
        <w:tc>
          <w:tcPr>
            <w:tcW w:w="0" w:type="auto"/>
            <w:tcBorders>
              <w:top w:val="single" w:sz="12" w:space="0" w:color="auto"/>
              <w:left w:val="single" w:sz="12" w:space="0" w:color="auto"/>
              <w:right w:val="single" w:sz="12" w:space="0" w:color="auto"/>
            </w:tcBorders>
            <w:vAlign w:val="center"/>
          </w:tcPr>
          <w:p w:rsidR="00B62EE8" w:rsidRPr="00B62EE8" w:rsidRDefault="00B62EE8" w:rsidP="00B62EE8">
            <w:pPr>
              <w:spacing w:line="360" w:lineRule="atLeast"/>
              <w:jc w:val="center"/>
              <w:rPr>
                <w:rFonts w:ascii="Times New Roman" w:hAnsi="Times New Roman" w:cs="Times New Roman"/>
                <w:sz w:val="24"/>
                <w:szCs w:val="24"/>
              </w:rPr>
            </w:pPr>
            <w:r w:rsidRPr="00B62EE8">
              <w:rPr>
                <w:rFonts w:ascii="Times New Roman" w:hAnsi="Times New Roman" w:cs="Times New Roman"/>
                <w:sz w:val="24"/>
                <w:szCs w:val="24"/>
              </w:rPr>
              <w:t>70,7</w:t>
            </w:r>
          </w:p>
        </w:tc>
        <w:tc>
          <w:tcPr>
            <w:tcW w:w="0" w:type="auto"/>
            <w:tcBorders>
              <w:top w:val="single" w:sz="12" w:space="0" w:color="auto"/>
              <w:left w:val="single" w:sz="12" w:space="0" w:color="auto"/>
            </w:tcBorders>
            <w:shd w:val="clear" w:color="auto" w:fill="auto"/>
            <w:vAlign w:val="center"/>
          </w:tcPr>
          <w:p w:rsidR="00B62EE8" w:rsidRPr="00B62EE8" w:rsidRDefault="00B62EE8" w:rsidP="00B62EE8">
            <w:pPr>
              <w:spacing w:line="360" w:lineRule="atLeast"/>
              <w:jc w:val="center"/>
              <w:rPr>
                <w:rFonts w:ascii="Times New Roman" w:hAnsi="Times New Roman" w:cs="Times New Roman"/>
                <w:sz w:val="24"/>
                <w:szCs w:val="24"/>
              </w:rPr>
            </w:pPr>
            <w:r w:rsidRPr="00B62EE8">
              <w:rPr>
                <w:rFonts w:ascii="Times New Roman" w:hAnsi="Times New Roman" w:cs="Times New Roman"/>
                <w:sz w:val="24"/>
                <w:szCs w:val="24"/>
              </w:rPr>
              <w:t>73,7</w:t>
            </w:r>
          </w:p>
        </w:tc>
        <w:tc>
          <w:tcPr>
            <w:tcW w:w="0" w:type="auto"/>
            <w:tcBorders>
              <w:top w:val="single" w:sz="12" w:space="0" w:color="auto"/>
              <w:right w:val="single" w:sz="18" w:space="0" w:color="auto"/>
            </w:tcBorders>
            <w:shd w:val="clear" w:color="auto" w:fill="auto"/>
            <w:vAlign w:val="center"/>
          </w:tcPr>
          <w:p w:rsidR="00B62EE8" w:rsidRPr="00B62EE8" w:rsidRDefault="00B62EE8" w:rsidP="00B62EE8">
            <w:pPr>
              <w:spacing w:line="360" w:lineRule="atLeast"/>
              <w:jc w:val="center"/>
              <w:rPr>
                <w:rFonts w:ascii="Times New Roman" w:hAnsi="Times New Roman" w:cs="Times New Roman"/>
                <w:sz w:val="24"/>
                <w:szCs w:val="24"/>
              </w:rPr>
            </w:pPr>
            <w:r w:rsidRPr="00B62EE8">
              <w:rPr>
                <w:rFonts w:ascii="Times New Roman" w:hAnsi="Times New Roman" w:cs="Times New Roman"/>
                <w:sz w:val="24"/>
                <w:szCs w:val="24"/>
              </w:rPr>
              <w:t>68,7</w:t>
            </w:r>
          </w:p>
        </w:tc>
      </w:tr>
      <w:tr w:rsidR="00B62EE8" w:rsidRPr="00B62EE8" w:rsidTr="00B62EE8">
        <w:trPr>
          <w:jc w:val="center"/>
        </w:trPr>
        <w:tc>
          <w:tcPr>
            <w:tcW w:w="1403" w:type="dxa"/>
            <w:tcBorders>
              <w:left w:val="single" w:sz="18" w:space="0" w:color="auto"/>
              <w:bottom w:val="single" w:sz="18" w:space="0" w:color="auto"/>
              <w:right w:val="single" w:sz="12" w:space="0" w:color="auto"/>
            </w:tcBorders>
          </w:tcPr>
          <w:p w:rsidR="00B62EE8" w:rsidRPr="00B62EE8" w:rsidRDefault="00B62EE8" w:rsidP="00B62EE8">
            <w:pPr>
              <w:spacing w:line="360" w:lineRule="atLeast"/>
              <w:jc w:val="both"/>
              <w:rPr>
                <w:rFonts w:ascii="Times New Roman" w:hAnsi="Times New Roman" w:cs="Times New Roman"/>
                <w:b/>
                <w:sz w:val="24"/>
                <w:szCs w:val="24"/>
              </w:rPr>
            </w:pPr>
            <w:r w:rsidRPr="00B62EE8">
              <w:rPr>
                <w:rFonts w:ascii="Times New Roman" w:hAnsi="Times New Roman" w:cs="Times New Roman"/>
                <w:b/>
                <w:sz w:val="24"/>
                <w:szCs w:val="24"/>
              </w:rPr>
              <w:t>Μεταβολή (%) ΔΚΕ</w:t>
            </w:r>
          </w:p>
        </w:tc>
        <w:tc>
          <w:tcPr>
            <w:tcW w:w="0" w:type="auto"/>
            <w:tcBorders>
              <w:left w:val="single" w:sz="12" w:space="0" w:color="auto"/>
              <w:bottom w:val="single" w:sz="18" w:space="0" w:color="auto"/>
              <w:right w:val="single" w:sz="12" w:space="0" w:color="auto"/>
            </w:tcBorders>
            <w:vAlign w:val="center"/>
          </w:tcPr>
          <w:p w:rsidR="00B62EE8" w:rsidRPr="00B62EE8" w:rsidRDefault="00B62EE8" w:rsidP="00B62EE8">
            <w:pPr>
              <w:spacing w:line="360" w:lineRule="atLeast"/>
              <w:jc w:val="center"/>
              <w:rPr>
                <w:rFonts w:ascii="Times New Roman" w:hAnsi="Times New Roman" w:cs="Times New Roman"/>
                <w:b/>
                <w:sz w:val="24"/>
                <w:szCs w:val="24"/>
              </w:rPr>
            </w:pPr>
            <w:r w:rsidRPr="00B62EE8">
              <w:rPr>
                <w:rFonts w:ascii="Times New Roman" w:hAnsi="Times New Roman" w:cs="Times New Roman"/>
                <w:b/>
                <w:sz w:val="24"/>
                <w:szCs w:val="24"/>
              </w:rPr>
              <w:t>-11,3%</w:t>
            </w:r>
          </w:p>
        </w:tc>
        <w:tc>
          <w:tcPr>
            <w:tcW w:w="1043" w:type="dxa"/>
            <w:tcBorders>
              <w:left w:val="single" w:sz="12" w:space="0" w:color="auto"/>
              <w:bottom w:val="single" w:sz="18" w:space="0" w:color="auto"/>
              <w:right w:val="single" w:sz="12" w:space="0" w:color="auto"/>
            </w:tcBorders>
            <w:vAlign w:val="center"/>
          </w:tcPr>
          <w:p w:rsidR="00B62EE8" w:rsidRPr="00B62EE8" w:rsidRDefault="00B62EE8" w:rsidP="00B62EE8">
            <w:pPr>
              <w:spacing w:line="360" w:lineRule="atLeast"/>
              <w:jc w:val="center"/>
              <w:rPr>
                <w:rFonts w:ascii="Times New Roman" w:hAnsi="Times New Roman" w:cs="Times New Roman"/>
                <w:b/>
                <w:sz w:val="24"/>
                <w:szCs w:val="24"/>
              </w:rPr>
            </w:pPr>
            <w:r w:rsidRPr="00B62EE8">
              <w:rPr>
                <w:rFonts w:ascii="Times New Roman" w:hAnsi="Times New Roman" w:cs="Times New Roman"/>
                <w:b/>
                <w:sz w:val="24"/>
                <w:szCs w:val="24"/>
              </w:rPr>
              <w:t>-1,8%</w:t>
            </w:r>
          </w:p>
        </w:tc>
        <w:tc>
          <w:tcPr>
            <w:tcW w:w="1349" w:type="dxa"/>
            <w:tcBorders>
              <w:left w:val="single" w:sz="12" w:space="0" w:color="auto"/>
              <w:bottom w:val="single" w:sz="18" w:space="0" w:color="auto"/>
              <w:right w:val="single" w:sz="12" w:space="0" w:color="auto"/>
            </w:tcBorders>
            <w:vAlign w:val="center"/>
          </w:tcPr>
          <w:p w:rsidR="00B62EE8" w:rsidRPr="00B62EE8" w:rsidRDefault="00B62EE8" w:rsidP="00B62EE8">
            <w:pPr>
              <w:spacing w:line="360" w:lineRule="atLeast"/>
              <w:jc w:val="center"/>
              <w:rPr>
                <w:rFonts w:ascii="Times New Roman" w:hAnsi="Times New Roman" w:cs="Times New Roman"/>
                <w:b/>
                <w:sz w:val="24"/>
                <w:szCs w:val="24"/>
              </w:rPr>
            </w:pPr>
            <w:r w:rsidRPr="00B62EE8">
              <w:rPr>
                <w:rFonts w:ascii="Times New Roman" w:hAnsi="Times New Roman" w:cs="Times New Roman"/>
                <w:b/>
                <w:sz w:val="24"/>
                <w:szCs w:val="24"/>
              </w:rPr>
              <w:t>-10,2%</w:t>
            </w:r>
          </w:p>
        </w:tc>
        <w:tc>
          <w:tcPr>
            <w:tcW w:w="0" w:type="auto"/>
            <w:tcBorders>
              <w:left w:val="single" w:sz="12" w:space="0" w:color="auto"/>
              <w:bottom w:val="single" w:sz="18" w:space="0" w:color="auto"/>
              <w:right w:val="single" w:sz="12" w:space="0" w:color="auto"/>
            </w:tcBorders>
            <w:vAlign w:val="center"/>
          </w:tcPr>
          <w:p w:rsidR="00B62EE8" w:rsidRPr="00B62EE8" w:rsidRDefault="00B62EE8" w:rsidP="00B62EE8">
            <w:pPr>
              <w:spacing w:line="360" w:lineRule="atLeast"/>
              <w:jc w:val="center"/>
              <w:rPr>
                <w:rFonts w:ascii="Times New Roman" w:hAnsi="Times New Roman" w:cs="Times New Roman"/>
                <w:b/>
                <w:sz w:val="24"/>
                <w:szCs w:val="24"/>
              </w:rPr>
            </w:pPr>
            <w:r w:rsidRPr="00B62EE8">
              <w:rPr>
                <w:rFonts w:ascii="Times New Roman" w:hAnsi="Times New Roman" w:cs="Times New Roman"/>
                <w:b/>
                <w:sz w:val="24"/>
                <w:szCs w:val="24"/>
              </w:rPr>
              <w:t>-8,3%</w:t>
            </w:r>
          </w:p>
        </w:tc>
        <w:tc>
          <w:tcPr>
            <w:tcW w:w="0" w:type="auto"/>
            <w:tcBorders>
              <w:left w:val="single" w:sz="12" w:space="0" w:color="auto"/>
              <w:bottom w:val="single" w:sz="18" w:space="0" w:color="auto"/>
              <w:right w:val="single" w:sz="12" w:space="0" w:color="auto"/>
            </w:tcBorders>
            <w:vAlign w:val="center"/>
          </w:tcPr>
          <w:p w:rsidR="00B62EE8" w:rsidRPr="00B62EE8" w:rsidRDefault="00B62EE8" w:rsidP="00B62EE8">
            <w:pPr>
              <w:spacing w:line="360" w:lineRule="atLeast"/>
              <w:jc w:val="center"/>
              <w:rPr>
                <w:rFonts w:ascii="Times New Roman" w:hAnsi="Times New Roman" w:cs="Times New Roman"/>
                <w:b/>
                <w:sz w:val="24"/>
                <w:szCs w:val="24"/>
              </w:rPr>
            </w:pPr>
            <w:r w:rsidRPr="00B62EE8">
              <w:rPr>
                <w:rFonts w:ascii="Times New Roman" w:hAnsi="Times New Roman" w:cs="Times New Roman"/>
                <w:b/>
                <w:sz w:val="24"/>
                <w:szCs w:val="24"/>
              </w:rPr>
              <w:t>-15,0%</w:t>
            </w:r>
          </w:p>
        </w:tc>
        <w:tc>
          <w:tcPr>
            <w:tcW w:w="0" w:type="auto"/>
            <w:tcBorders>
              <w:left w:val="single" w:sz="12" w:space="0" w:color="auto"/>
              <w:bottom w:val="single" w:sz="18" w:space="0" w:color="auto"/>
            </w:tcBorders>
            <w:shd w:val="clear" w:color="auto" w:fill="auto"/>
            <w:vAlign w:val="center"/>
          </w:tcPr>
          <w:p w:rsidR="00B62EE8" w:rsidRPr="00B62EE8" w:rsidRDefault="00B62EE8" w:rsidP="00B62EE8">
            <w:pPr>
              <w:spacing w:line="360" w:lineRule="atLeast"/>
              <w:jc w:val="center"/>
              <w:rPr>
                <w:rFonts w:ascii="Times New Roman" w:hAnsi="Times New Roman" w:cs="Times New Roman"/>
                <w:b/>
                <w:sz w:val="24"/>
                <w:szCs w:val="24"/>
              </w:rPr>
            </w:pPr>
            <w:r w:rsidRPr="00B62EE8">
              <w:rPr>
                <w:rFonts w:ascii="Times New Roman" w:hAnsi="Times New Roman" w:cs="Times New Roman"/>
                <w:b/>
                <w:sz w:val="24"/>
                <w:szCs w:val="24"/>
              </w:rPr>
              <w:t>-12,1%</w:t>
            </w:r>
          </w:p>
        </w:tc>
        <w:tc>
          <w:tcPr>
            <w:tcW w:w="0" w:type="auto"/>
            <w:tcBorders>
              <w:bottom w:val="single" w:sz="18" w:space="0" w:color="auto"/>
              <w:right w:val="single" w:sz="18" w:space="0" w:color="auto"/>
            </w:tcBorders>
            <w:shd w:val="clear" w:color="auto" w:fill="auto"/>
            <w:vAlign w:val="center"/>
          </w:tcPr>
          <w:p w:rsidR="00B62EE8" w:rsidRPr="00B62EE8" w:rsidRDefault="00B62EE8" w:rsidP="00B62EE8">
            <w:pPr>
              <w:spacing w:line="360" w:lineRule="atLeast"/>
              <w:jc w:val="center"/>
              <w:rPr>
                <w:rFonts w:ascii="Times New Roman" w:hAnsi="Times New Roman" w:cs="Times New Roman"/>
                <w:b/>
                <w:sz w:val="24"/>
                <w:szCs w:val="24"/>
              </w:rPr>
            </w:pPr>
            <w:r w:rsidRPr="00B62EE8">
              <w:rPr>
                <w:rFonts w:ascii="Times New Roman" w:hAnsi="Times New Roman" w:cs="Times New Roman"/>
                <w:b/>
                <w:sz w:val="24"/>
                <w:szCs w:val="24"/>
              </w:rPr>
              <w:t>-2,8%</w:t>
            </w:r>
          </w:p>
        </w:tc>
      </w:tr>
    </w:tbl>
    <w:p w:rsidR="00B62EE8" w:rsidRPr="00B62EE8" w:rsidRDefault="00B62EE8" w:rsidP="00B62EE8">
      <w:pPr>
        <w:spacing w:after="0" w:line="240" w:lineRule="auto"/>
        <w:ind w:left="-993" w:right="-908"/>
        <w:jc w:val="both"/>
        <w:rPr>
          <w:rFonts w:ascii="Times New Roman" w:hAnsi="Times New Roman" w:cs="Times New Roman"/>
          <w:i/>
          <w:sz w:val="20"/>
          <w:szCs w:val="20"/>
        </w:rPr>
      </w:pPr>
      <w:r w:rsidRPr="00B62EE8">
        <w:rPr>
          <w:rFonts w:ascii="Times New Roman" w:hAnsi="Times New Roman" w:cs="Times New Roman"/>
          <w:b/>
          <w:i/>
          <w:sz w:val="20"/>
          <w:szCs w:val="20"/>
        </w:rPr>
        <w:t>Πηγή:</w:t>
      </w:r>
      <w:r w:rsidRPr="00B62EE8">
        <w:rPr>
          <w:rFonts w:ascii="Times New Roman" w:hAnsi="Times New Roman" w:cs="Times New Roman"/>
          <w:i/>
          <w:sz w:val="20"/>
          <w:szCs w:val="20"/>
        </w:rPr>
        <w:t xml:space="preserve"> ΕΛ.ΣΤΑΤ. – Επεξεργασία στοιχείων ΙΝ.ΕΜ.Υ. της ΕΣΕΕ</w:t>
      </w:r>
    </w:p>
    <w:p w:rsidR="00B62EE8" w:rsidRPr="00B62EE8" w:rsidRDefault="00B62EE8" w:rsidP="00B62EE8">
      <w:pPr>
        <w:spacing w:after="0" w:line="240" w:lineRule="auto"/>
        <w:ind w:left="-993" w:right="-908"/>
        <w:jc w:val="both"/>
        <w:rPr>
          <w:rFonts w:ascii="Times New Roman" w:hAnsi="Times New Roman" w:cs="Times New Roman"/>
          <w:i/>
          <w:sz w:val="20"/>
          <w:szCs w:val="20"/>
        </w:rPr>
      </w:pPr>
      <w:r w:rsidRPr="00B62EE8">
        <w:rPr>
          <w:rFonts w:ascii="Times New Roman" w:hAnsi="Times New Roman" w:cs="Times New Roman"/>
          <w:i/>
          <w:sz w:val="20"/>
          <w:szCs w:val="20"/>
        </w:rPr>
        <w:t xml:space="preserve">*: Εξαιρουμένων των καυσίμων και των λιπαντικών.  </w:t>
      </w:r>
    </w:p>
    <w:p w:rsidR="00B62EE8" w:rsidRPr="00B62EE8" w:rsidRDefault="00B62EE8" w:rsidP="00B62EE8">
      <w:pPr>
        <w:spacing w:after="0" w:line="240" w:lineRule="auto"/>
        <w:ind w:left="-993" w:right="-908"/>
        <w:jc w:val="both"/>
        <w:rPr>
          <w:rFonts w:ascii="Times New Roman" w:hAnsi="Times New Roman" w:cs="Times New Roman"/>
          <w:i/>
          <w:sz w:val="20"/>
          <w:szCs w:val="20"/>
        </w:rPr>
      </w:pPr>
      <w:r w:rsidRPr="00B62EE8">
        <w:rPr>
          <w:rFonts w:ascii="Times New Roman" w:hAnsi="Times New Roman" w:cs="Times New Roman"/>
          <w:i/>
          <w:sz w:val="20"/>
          <w:szCs w:val="20"/>
        </w:rPr>
        <w:t>**: Ως περίοδος χειμερινών εκπτώσεων νοούνται οι μήνες Ιανουάριος και Φεβρουάριος ενώ των θερινών οι μήνες Ιούλιος και Αύγουστος. Ο ΔΚΕ για κάθε περίοδο αποτελεί τον μέσο όρο των αντίστοιχων δύο μηνών ενώ οι ποσοστιαίες μεταβολές έχουν υπολογιστεί με βάση την αντίστοιχη περίοδο του προηγούμενου έτους (y-o-y).</w:t>
      </w:r>
    </w:p>
    <w:p w:rsidR="00A00BDE" w:rsidRDefault="00A00BDE" w:rsidP="00FD5226">
      <w:pPr>
        <w:pStyle w:val="a3"/>
        <w:spacing w:before="80"/>
        <w:jc w:val="both"/>
        <w:rPr>
          <w:rFonts w:ascii="Times New Roman" w:hAnsi="Times New Roman"/>
          <w:b/>
          <w:i/>
          <w:sz w:val="24"/>
          <w:szCs w:val="24"/>
        </w:rPr>
      </w:pPr>
    </w:p>
    <w:p w:rsidR="00B62EE8" w:rsidRPr="00A00BDE" w:rsidRDefault="00B62EE8" w:rsidP="00FD5226">
      <w:pPr>
        <w:pStyle w:val="a3"/>
        <w:spacing w:before="80"/>
        <w:jc w:val="both"/>
        <w:rPr>
          <w:rFonts w:ascii="Times New Roman" w:hAnsi="Times New Roman"/>
          <w:b/>
          <w:i/>
          <w:sz w:val="22"/>
          <w:szCs w:val="22"/>
        </w:rPr>
      </w:pPr>
      <w:r w:rsidRPr="00A00BDE">
        <w:rPr>
          <w:rFonts w:ascii="Times New Roman" w:hAnsi="Times New Roman"/>
          <w:b/>
          <w:i/>
          <w:sz w:val="22"/>
          <w:szCs w:val="22"/>
        </w:rPr>
        <w:t>Οι Εμπορικοί Σύλλογοι για τις εκπτώσεις</w:t>
      </w:r>
    </w:p>
    <w:p w:rsidR="00B62EE8" w:rsidRPr="00A00BDE" w:rsidRDefault="00B62EE8" w:rsidP="00FD5226">
      <w:pPr>
        <w:pStyle w:val="a3"/>
        <w:spacing w:before="80"/>
        <w:jc w:val="both"/>
        <w:rPr>
          <w:rFonts w:ascii="Times New Roman" w:hAnsi="Times New Roman"/>
          <w:b/>
          <w:i/>
          <w:sz w:val="22"/>
          <w:szCs w:val="22"/>
        </w:rPr>
      </w:pPr>
    </w:p>
    <w:p w:rsidR="005B58DA" w:rsidRPr="00A00BDE" w:rsidRDefault="003C5A51" w:rsidP="00615E6C">
      <w:pPr>
        <w:pStyle w:val="a3"/>
        <w:spacing w:before="80"/>
        <w:jc w:val="both"/>
        <w:rPr>
          <w:rFonts w:ascii="Times New Roman" w:hAnsi="Times New Roman"/>
          <w:sz w:val="22"/>
          <w:szCs w:val="22"/>
        </w:rPr>
      </w:pPr>
      <w:r w:rsidRPr="00A00BDE">
        <w:rPr>
          <w:rFonts w:ascii="Times New Roman" w:hAnsi="Times New Roman"/>
          <w:sz w:val="22"/>
          <w:szCs w:val="22"/>
        </w:rPr>
        <w:t xml:space="preserve">Σύμφωνα με τους κατά τόπους Εμπορικούς Συλλόγους, οι πωλήσεις των καταστημάτων λιανεμπορίου το εν λόγω διάστημα των θερινών εκπτώσεων κινήθηκαν πτωτικά σε σύγκριση με την αντίστοιχη θερινή εκπτωτική περίοδο. </w:t>
      </w:r>
      <w:r w:rsidR="00C6564A" w:rsidRPr="00A00BDE">
        <w:rPr>
          <w:rFonts w:ascii="Times New Roman" w:hAnsi="Times New Roman"/>
          <w:sz w:val="22"/>
          <w:szCs w:val="22"/>
        </w:rPr>
        <w:t xml:space="preserve"> Παρατίθεται Πίνακας με τις δηλώσεις των Εμπορικών Συλλόγων. </w:t>
      </w:r>
    </w:p>
    <w:p w:rsidR="00B62EE8" w:rsidRPr="00A00BDE" w:rsidRDefault="00B62EE8" w:rsidP="00615E6C">
      <w:pPr>
        <w:pStyle w:val="a3"/>
        <w:spacing w:before="80"/>
        <w:jc w:val="both"/>
        <w:rPr>
          <w:rFonts w:ascii="Times New Roman" w:hAnsi="Times New Roman"/>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2"/>
        <w:gridCol w:w="3536"/>
      </w:tblGrid>
      <w:tr w:rsidR="00D05B07" w:rsidRPr="00A00BDE" w:rsidTr="00D05B07">
        <w:trPr>
          <w:trHeight w:val="924"/>
        </w:trPr>
        <w:tc>
          <w:tcPr>
            <w:tcW w:w="8698" w:type="dxa"/>
            <w:gridSpan w:val="2"/>
            <w:tcBorders>
              <w:top w:val="single" w:sz="4" w:space="0" w:color="auto"/>
              <w:left w:val="single" w:sz="4" w:space="0" w:color="auto"/>
              <w:bottom w:val="single" w:sz="4" w:space="0" w:color="auto"/>
              <w:right w:val="single" w:sz="4" w:space="0" w:color="auto"/>
            </w:tcBorders>
            <w:shd w:val="clear" w:color="auto" w:fill="CCFFFF"/>
          </w:tcPr>
          <w:p w:rsidR="00D05B07" w:rsidRPr="00A00BDE" w:rsidRDefault="00D05B07" w:rsidP="00D05B07">
            <w:pPr>
              <w:autoSpaceDE w:val="0"/>
              <w:autoSpaceDN w:val="0"/>
              <w:adjustRightInd w:val="0"/>
              <w:jc w:val="center"/>
              <w:rPr>
                <w:rFonts w:ascii="Times New Roman" w:hAnsi="Times New Roman" w:cs="Times New Roman"/>
                <w:b/>
              </w:rPr>
            </w:pPr>
            <w:r w:rsidRPr="00A00BDE">
              <w:rPr>
                <w:rFonts w:ascii="Times New Roman" w:hAnsi="Times New Roman" w:cs="Times New Roman"/>
                <w:b/>
              </w:rPr>
              <w:t>Εκτίμηση της αγοραστικής κίνησης κατά την περίοδο των θερινών εκπτώσεων σε 65 πόλεις της χώρας</w:t>
            </w:r>
          </w:p>
          <w:p w:rsidR="00D05B07" w:rsidRPr="00A00BDE" w:rsidRDefault="00D05B07" w:rsidP="00D05B07">
            <w:pPr>
              <w:autoSpaceDE w:val="0"/>
              <w:autoSpaceDN w:val="0"/>
              <w:adjustRightInd w:val="0"/>
              <w:ind w:left="108"/>
              <w:jc w:val="center"/>
              <w:rPr>
                <w:rFonts w:ascii="Times New Roman" w:hAnsi="Times New Roman" w:cs="Times New Roman"/>
                <w:b/>
              </w:rPr>
            </w:pPr>
            <w:r w:rsidRPr="00A00BDE">
              <w:rPr>
                <w:rFonts w:ascii="Times New Roman" w:hAnsi="Times New Roman" w:cs="Times New Roman"/>
                <w:b/>
              </w:rPr>
              <w:t>(201</w:t>
            </w:r>
            <w:r w:rsidRPr="00A00BDE">
              <w:rPr>
                <w:rFonts w:ascii="Times New Roman" w:hAnsi="Times New Roman" w:cs="Times New Roman"/>
                <w:b/>
                <w:lang w:val="en-US"/>
              </w:rPr>
              <w:t>4</w:t>
            </w:r>
            <w:r w:rsidRPr="00A00BDE">
              <w:rPr>
                <w:rFonts w:ascii="Times New Roman" w:hAnsi="Times New Roman" w:cs="Times New Roman"/>
                <w:b/>
              </w:rPr>
              <w:t>/201</w:t>
            </w:r>
            <w:r w:rsidRPr="00A00BDE">
              <w:rPr>
                <w:rFonts w:ascii="Times New Roman" w:hAnsi="Times New Roman" w:cs="Times New Roman"/>
                <w:b/>
                <w:lang w:val="en-US"/>
              </w:rPr>
              <w:t>3</w:t>
            </w:r>
            <w:r w:rsidRPr="00A00BDE">
              <w:rPr>
                <w:rFonts w:ascii="Times New Roman" w:hAnsi="Times New Roman" w:cs="Times New Roman"/>
                <w:b/>
              </w:rPr>
              <w:t>)</w:t>
            </w:r>
          </w:p>
        </w:tc>
      </w:tr>
      <w:tr w:rsidR="00D05B07" w:rsidRPr="00A00BDE" w:rsidTr="00D05B07">
        <w:trPr>
          <w:trHeight w:val="542"/>
        </w:trPr>
        <w:tc>
          <w:tcPr>
            <w:tcW w:w="5162"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D05B07" w:rsidRPr="00A00BDE" w:rsidRDefault="00D05B07" w:rsidP="00D05B07">
            <w:pPr>
              <w:jc w:val="center"/>
              <w:rPr>
                <w:rFonts w:ascii="Times New Roman" w:hAnsi="Times New Roman" w:cs="Times New Roman"/>
                <w:b/>
              </w:rPr>
            </w:pPr>
            <w:r w:rsidRPr="00A00BDE">
              <w:rPr>
                <w:rFonts w:ascii="Times New Roman" w:hAnsi="Times New Roman" w:cs="Times New Roman"/>
                <w:b/>
              </w:rPr>
              <w:t>Περιοχές</w:t>
            </w:r>
          </w:p>
        </w:tc>
        <w:tc>
          <w:tcPr>
            <w:tcW w:w="3536"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D05B07" w:rsidRPr="00A00BDE" w:rsidRDefault="00D05B07" w:rsidP="00D05B07">
            <w:pPr>
              <w:jc w:val="center"/>
              <w:rPr>
                <w:rFonts w:ascii="Times New Roman" w:hAnsi="Times New Roman" w:cs="Times New Roman"/>
                <w:b/>
              </w:rPr>
            </w:pPr>
            <w:r w:rsidRPr="00A00BDE">
              <w:rPr>
                <w:rFonts w:ascii="Times New Roman" w:hAnsi="Times New Roman" w:cs="Times New Roman"/>
                <w:b/>
              </w:rPr>
              <w:t>% μείωσης/αύξησης</w:t>
            </w:r>
          </w:p>
        </w:tc>
      </w:tr>
      <w:tr w:rsidR="00D05B07" w:rsidRPr="00A00BDE" w:rsidTr="00A4512C">
        <w:trPr>
          <w:trHeight w:val="506"/>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 xml:space="preserve">Αθήνα (κέντρο) </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lang w:val="en-US"/>
              </w:rPr>
            </w:pPr>
            <w:r w:rsidRPr="00A00BDE">
              <w:rPr>
                <w:rFonts w:ascii="Times New Roman" w:hAnsi="Times New Roman" w:cs="Times New Roman"/>
                <w:lang w:val="en-US"/>
              </w:rPr>
              <w:t>(-) 0-10%</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Θεσσαλονίκη (κέντρο)</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rPr>
              <w:t>(-) 10-15%</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Πειραιάς</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lang w:val="en-US"/>
              </w:rPr>
            </w:pPr>
            <w:r w:rsidRPr="00A00BDE">
              <w:rPr>
                <w:rFonts w:ascii="Times New Roman" w:hAnsi="Times New Roman" w:cs="Times New Roman"/>
                <w:lang w:val="en-US"/>
              </w:rPr>
              <w:t>(-) 11-20%</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Ν. Ιωνία</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lang w:val="en-US"/>
              </w:rPr>
            </w:pPr>
            <w:r w:rsidRPr="00A00BDE">
              <w:rPr>
                <w:rFonts w:ascii="Times New Roman" w:hAnsi="Times New Roman" w:cs="Times New Roman"/>
                <w:lang w:val="en-US"/>
              </w:rPr>
              <w:t>(-) 11-20%</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Περιστέρι</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rPr>
              <w:t>(+) 0-10%</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Μοσχάτο</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rPr>
              <w:t>ΣΤΑ ΙΔΙΑ ΕΠΙΠΕΔΑ ΜΕ ΤΟΝ ΠΡΟΗΓΟΥΜΕΝΟ ΧΡΟΝΟ</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lastRenderedPageBreak/>
              <w:t>Νίκαια</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rPr>
              <w:t>(-) 21-30%</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Χαλάνδρι</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rPr>
              <w:t>ΣΤΑ ΙΔΙΑ ΕΠΙΠΕΔΑ ΜΕ ΤΟΝ ΠΡΟΗΓΟΥΜΕΝΟ ΧΡΟΝΟ</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Ίλιον</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rPr>
              <w:t>ΣΤΑ ΙΔΙΑ ΕΠΙΠΕΔΑ ΜΕ ΤΟΝ ΠΡΟΗΓΟΥΜΕΝΟ ΧΡΟΝΟ</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Γλυφάδα</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rPr>
              <w:t>(+) 0-10%</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Π.</w:t>
            </w:r>
            <w:r w:rsidRPr="00A00BDE">
              <w:rPr>
                <w:rFonts w:ascii="Times New Roman" w:hAnsi="Times New Roman" w:cs="Times New Roman"/>
                <w:lang w:val="en-US"/>
              </w:rPr>
              <w:t xml:space="preserve"> </w:t>
            </w:r>
            <w:r w:rsidRPr="00A00BDE">
              <w:rPr>
                <w:rFonts w:ascii="Times New Roman" w:hAnsi="Times New Roman" w:cs="Times New Roman"/>
              </w:rPr>
              <w:t>Φάληρο</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lang w:val="en-US"/>
              </w:rPr>
              <w:t>(-) 11-20%</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center"/>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Λευκάδα</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rPr>
              <w:t>(-) 21-30%</w:t>
            </w:r>
          </w:p>
        </w:tc>
      </w:tr>
      <w:tr w:rsidR="00D05B07" w:rsidRPr="00A00BDE" w:rsidTr="00A4512C">
        <w:trPr>
          <w:trHeight w:val="723"/>
        </w:trPr>
        <w:tc>
          <w:tcPr>
            <w:tcW w:w="5162" w:type="dxa"/>
            <w:tcBorders>
              <w:top w:val="single" w:sz="4" w:space="0" w:color="auto"/>
              <w:left w:val="single" w:sz="4" w:space="0" w:color="auto"/>
              <w:bottom w:val="single" w:sz="4" w:space="0" w:color="auto"/>
              <w:right w:val="single" w:sz="4" w:space="0" w:color="auto"/>
            </w:tcBorders>
            <w:vAlign w:val="bottom"/>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Αγρίνιο</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rPr>
              <w:t>(-) 21-30%</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Ιωάννινα</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lang w:val="en-US"/>
              </w:rPr>
              <w:t>(-) 0-10%</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Άρτα</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rPr>
              <w:t>(-) 31-40%</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Αταλάντη</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lang w:val="en-US"/>
              </w:rPr>
              <w:t>(-) 11-20%</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Ηγουμενίτσα</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lang w:val="en-US"/>
              </w:rPr>
              <w:t>(-) 11-20%</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Λαμία</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rPr>
              <w:t>(-) 21-30%</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 xml:space="preserve">Αγ. Κωνσταντίνος  </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rPr>
              <w:t>ΣΤΑ ΙΔΙΑ ΕΠΙΠΕΔΑ ΜΕ ΤΟΝ ΠΡΟΗΓΟΥΜΕΝΟ ΧΡΟΝΟ</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Σύρος</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rPr>
              <w:t>ΣΤΑ ΙΔΙΑ ΕΠΙΠΕΔΑ ΜΕ ΤΟΝ ΠΡΟΗΓΟΥΜΕΝΟ ΧΡΟΝΟ</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Λιβαδειά</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lang w:val="en-US"/>
              </w:rPr>
              <w:t>(-) 11-20%</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Θήβα</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rPr>
              <w:t>(-) 21-30%</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Γιαννιτσά</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rPr>
              <w:t>(-) 21-30%</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Έδεσσα</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lang w:val="en-US"/>
              </w:rPr>
              <w:t>(-) 11-20%</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Πτολεμαΐδα</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lang w:val="en-US"/>
              </w:rPr>
              <w:t>(-) 11-20%</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Αμύνταιο</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rPr>
              <w:t>(+) 0-10%</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Καβάλα</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rPr>
              <w:t>ΣΤΑ ΙΔΙΑ ΕΠΙΠΕΔΑ ΜΕ ΤΟΝ ΠΡΟΗΓΟΥΜΕΝΟ ΧΡΟΝΟ</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lastRenderedPageBreak/>
              <w:t>Καστοριά</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lang w:val="en-US"/>
              </w:rPr>
              <w:t>(-) 11-20%</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Βέροια</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rPr>
              <w:t>(-) 31-40%</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Φλώρινα</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rPr>
              <w:t>(-) 31-40%</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Ρόδος</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rPr>
              <w:t>ΣΤΑ ΙΔΙΑ ΕΠΙΠΕΔΑ ΜΕ ΤΟΝ ΠΡΟΗΓΟΥΜΕΝΟ ΧΡΟΝΟ</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Κάρυστος</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rPr>
              <w:t>(+) 0-10%</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Χαλκίδα</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lang w:val="en-US"/>
              </w:rPr>
              <w:t>(-) 11-20%</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Πύργος</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lang w:val="en-US"/>
              </w:rPr>
              <w:t>(-) 11-20%</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Καρδίτσα</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lang w:val="en-US"/>
              </w:rPr>
              <w:t>(-) 11-20%</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Φάρσαλα</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rPr>
              <w:t>ΔΓ/ΔΑ</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Βόλος</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lang w:val="en-US"/>
              </w:rPr>
              <w:t>(-) 11-20%</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Δράμα</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lang w:val="en-US"/>
              </w:rPr>
              <w:t>(-) 11-20%</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Κατερίνη</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lang w:val="en-US"/>
              </w:rPr>
              <w:t>(-) 11-20%</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Ιερισσός- Χαλκιδική</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rPr>
              <w:t>(-) 21-30%</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proofErr w:type="spellStart"/>
            <w:r w:rsidRPr="00A00BDE">
              <w:rPr>
                <w:rFonts w:ascii="Times New Roman" w:hAnsi="Times New Roman" w:cs="Times New Roman"/>
              </w:rPr>
              <w:t>Μεγ</w:t>
            </w:r>
            <w:proofErr w:type="spellEnd"/>
            <w:r w:rsidRPr="00A00BDE">
              <w:rPr>
                <w:rFonts w:ascii="Times New Roman" w:hAnsi="Times New Roman" w:cs="Times New Roman"/>
              </w:rPr>
              <w:t>. Παναγιά- Χαλκιδική</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rPr>
              <w:t>(-) 31-40%</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Πολύγυρος- Χαλκιδική</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lang w:val="en-US"/>
              </w:rPr>
              <w:t>(-) 11-20%</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Λιτόχωρο</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rPr>
              <w:t>ΣΤΑ ΙΔΙΑ ΕΠΙΠΕΔΑ ΜΕ ΤΟΝ ΠΡΟΗΓΟΥΜΕΝΟ ΧΡΟΝΟ</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Χερσόνησος</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rPr>
              <w:t>(-) ΜΕΓΑΛΥΤΕΡΗ ΑΠΟ 41%</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Ρέθυμνο</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632E54" w:rsidP="00A4512C">
            <w:pPr>
              <w:rPr>
                <w:rFonts w:ascii="Times New Roman" w:hAnsi="Times New Roman" w:cs="Times New Roman"/>
              </w:rPr>
            </w:pPr>
            <w:r w:rsidRPr="00A00BDE">
              <w:rPr>
                <w:rFonts w:ascii="Times New Roman" w:hAnsi="Times New Roman" w:cs="Times New Roman"/>
              </w:rPr>
              <w:t>(-) 15 – 20%</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proofErr w:type="spellStart"/>
            <w:r w:rsidRPr="00A00BDE">
              <w:rPr>
                <w:rFonts w:ascii="Times New Roman" w:hAnsi="Times New Roman" w:cs="Times New Roman"/>
              </w:rPr>
              <w:t>Παλαιόχωρα</w:t>
            </w:r>
            <w:proofErr w:type="spellEnd"/>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rPr>
              <w:t>(-) 11-20%</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Καλαμάτα</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b/>
              </w:rPr>
            </w:pPr>
            <w:r w:rsidRPr="00A00BDE">
              <w:rPr>
                <w:rFonts w:ascii="Times New Roman" w:hAnsi="Times New Roman" w:cs="Times New Roman"/>
              </w:rPr>
              <w:t>(-) 0-10%</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Χανιά</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rPr>
              <w:t>(-) 0-10%</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Σέρρες</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rPr>
              <w:t>(-) 21-30%</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lastRenderedPageBreak/>
              <w:t>Σπάρτη</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rPr>
              <w:t>(-) 11-20%</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Πάτρα</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lang w:val="en-US"/>
              </w:rPr>
              <w:t>(-) 11-20%</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Ηράκλειο</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rPr>
              <w:t>ΣΤΑ ΙΔΙΑ ΕΠΙΠΕΔΑ ΜΕ ΤΟΝ ΠΡΟΗΓΟΥΜΕΝΟ ΧΡΟΝΟ</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Κέρκυρα</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rPr>
              <w:t>ΣΤΑ ΙΔΙΑ ΕΠΙΠΕΔΑ ΜΕ ΤΟΝ ΠΡΟΗΓΟΥΜΕΝΟ ΧΡΟΝΟ</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Κυπαρισσία</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rPr>
              <w:t>ΣΤΑ ΙΔΙΑ ΕΠΙΠΕΔΑ ΜΕ ΤΟΝ ΠΡΟΗΓΟΥΜΕΝΟ ΧΡΟΝΟ</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Ζάκυνθος</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lang w:val="en-US"/>
              </w:rPr>
              <w:t>(-) 11-20%</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Ναύπλιο</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rPr>
              <w:t>ΣΤΑ ΙΔΙΑ ΕΠΙΠΕΔΑ ΜΕ ΤΟΝ ΠΡΟΗΓΟΥΜΕΝΟ ΧΡΟΝΟ</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Κιάτο</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rPr>
              <w:t>(-) 0-10%</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Ανδραβίδα</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rPr>
              <w:t>(-) ΜΕΓΑΛΥΤΕΡΗ ΑΠΟ 41%</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Νάξος</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rPr>
              <w:t>(+) 21-30%</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Νάουσα</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rPr>
              <w:t>(-) 11-20%</w:t>
            </w:r>
          </w:p>
        </w:tc>
      </w:tr>
      <w:tr w:rsidR="00D05B07" w:rsidRPr="00A00BDE" w:rsidTr="00A4512C">
        <w:trPr>
          <w:trHeight w:val="56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Λασίθι</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rPr>
              <w:t>ΣΤΑ ΙΔΙΑ ΕΠΙΠΕΔΑ ΜΕ ΤΟΝ ΠΡΟΗΓΟΥΜΕΝΟ ΧΡΟΝΟ</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proofErr w:type="spellStart"/>
            <w:r w:rsidRPr="00A00BDE">
              <w:rPr>
                <w:rFonts w:ascii="Times New Roman" w:hAnsi="Times New Roman" w:cs="Times New Roman"/>
              </w:rPr>
              <w:t>Αξιούπολη</w:t>
            </w:r>
            <w:proofErr w:type="spellEnd"/>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rPr>
              <w:t>ΣΤΑ ΙΔΙΑ ΕΠΙΠΕΔΑ ΜΕ ΤΟΝ ΠΡΟΗΓΟΥΜΕΝΟ ΧΡΟΝΟ</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Ξάνθη</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rPr>
              <w:t>(-) 31-40%</w:t>
            </w:r>
          </w:p>
        </w:tc>
      </w:tr>
      <w:tr w:rsidR="00D05B07"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Τρίκαλα</w:t>
            </w:r>
          </w:p>
        </w:tc>
        <w:tc>
          <w:tcPr>
            <w:tcW w:w="3536" w:type="dxa"/>
            <w:tcBorders>
              <w:top w:val="single" w:sz="4" w:space="0" w:color="auto"/>
              <w:left w:val="single" w:sz="4" w:space="0" w:color="auto"/>
              <w:bottom w:val="single" w:sz="4" w:space="0" w:color="auto"/>
              <w:right w:val="single" w:sz="4" w:space="0" w:color="auto"/>
            </w:tcBorders>
            <w:vAlign w:val="bottom"/>
            <w:hideMark/>
          </w:tcPr>
          <w:p w:rsidR="00D05B07" w:rsidRPr="00A00BDE" w:rsidRDefault="00D05B07" w:rsidP="00A4512C">
            <w:pPr>
              <w:rPr>
                <w:rFonts w:ascii="Times New Roman" w:hAnsi="Times New Roman" w:cs="Times New Roman"/>
              </w:rPr>
            </w:pPr>
            <w:r w:rsidRPr="00A00BDE">
              <w:rPr>
                <w:rFonts w:ascii="Times New Roman" w:hAnsi="Times New Roman" w:cs="Times New Roman"/>
              </w:rPr>
              <w:t>ΜΕΙΩΣΗ</w:t>
            </w:r>
          </w:p>
        </w:tc>
      </w:tr>
      <w:tr w:rsidR="00EA49FF"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EA49FF" w:rsidRPr="00A00BDE" w:rsidRDefault="00EA49FF"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Αλεξανδρούπολη</w:t>
            </w:r>
          </w:p>
        </w:tc>
        <w:tc>
          <w:tcPr>
            <w:tcW w:w="3536" w:type="dxa"/>
            <w:tcBorders>
              <w:top w:val="single" w:sz="4" w:space="0" w:color="auto"/>
              <w:left w:val="single" w:sz="4" w:space="0" w:color="auto"/>
              <w:bottom w:val="single" w:sz="4" w:space="0" w:color="auto"/>
              <w:right w:val="single" w:sz="4" w:space="0" w:color="auto"/>
            </w:tcBorders>
            <w:vAlign w:val="bottom"/>
            <w:hideMark/>
          </w:tcPr>
          <w:p w:rsidR="00EA49FF" w:rsidRPr="00A00BDE" w:rsidRDefault="00EA49FF" w:rsidP="00EA49FF">
            <w:pPr>
              <w:rPr>
                <w:rFonts w:ascii="Times New Roman" w:hAnsi="Times New Roman" w:cs="Times New Roman"/>
              </w:rPr>
            </w:pPr>
            <w:r w:rsidRPr="00A00BDE">
              <w:rPr>
                <w:rFonts w:ascii="Times New Roman" w:hAnsi="Times New Roman" w:cs="Times New Roman"/>
              </w:rPr>
              <w:t>ΣΤΑ ΙΔΙΑ ΕΠΙΠΕΔΑ ΜΕ ΤΟΝ ΠΡΟΗΓΟΥΜΕΝΟ ΧΡΟΝΟ</w:t>
            </w:r>
          </w:p>
        </w:tc>
      </w:tr>
      <w:tr w:rsidR="00EA49FF"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EA49FF" w:rsidRPr="00A00BDE" w:rsidRDefault="00EA49FF"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Λάρισα</w:t>
            </w:r>
          </w:p>
        </w:tc>
        <w:tc>
          <w:tcPr>
            <w:tcW w:w="3536" w:type="dxa"/>
            <w:tcBorders>
              <w:top w:val="single" w:sz="4" w:space="0" w:color="auto"/>
              <w:left w:val="single" w:sz="4" w:space="0" w:color="auto"/>
              <w:bottom w:val="single" w:sz="4" w:space="0" w:color="auto"/>
              <w:right w:val="single" w:sz="4" w:space="0" w:color="auto"/>
            </w:tcBorders>
            <w:vAlign w:val="bottom"/>
            <w:hideMark/>
          </w:tcPr>
          <w:p w:rsidR="00EA49FF" w:rsidRPr="00A00BDE" w:rsidRDefault="00EA49FF" w:rsidP="00A4512C">
            <w:pPr>
              <w:rPr>
                <w:rFonts w:ascii="Times New Roman" w:hAnsi="Times New Roman" w:cs="Times New Roman"/>
              </w:rPr>
            </w:pPr>
            <w:r w:rsidRPr="00A00BDE">
              <w:rPr>
                <w:rFonts w:ascii="Times New Roman" w:hAnsi="Times New Roman" w:cs="Times New Roman"/>
              </w:rPr>
              <w:t>ΣΤΑ ΙΔΙΑ ΕΠΙΠΕΔΑ ΜΕ ΤΟΝ ΠΡΟΗΓΟΥΜΕΝΟ ΧΡΟΝΟ</w:t>
            </w:r>
          </w:p>
        </w:tc>
      </w:tr>
      <w:tr w:rsidR="00EA49FF" w:rsidRPr="00A00BDE" w:rsidTr="00A4512C">
        <w:trPr>
          <w:trHeight w:val="624"/>
        </w:trPr>
        <w:tc>
          <w:tcPr>
            <w:tcW w:w="5162" w:type="dxa"/>
            <w:tcBorders>
              <w:top w:val="single" w:sz="4" w:space="0" w:color="auto"/>
              <w:left w:val="single" w:sz="4" w:space="0" w:color="auto"/>
              <w:bottom w:val="single" w:sz="4" w:space="0" w:color="auto"/>
              <w:right w:val="single" w:sz="4" w:space="0" w:color="auto"/>
            </w:tcBorders>
            <w:vAlign w:val="bottom"/>
            <w:hideMark/>
          </w:tcPr>
          <w:p w:rsidR="00EA49FF" w:rsidRPr="00A00BDE" w:rsidRDefault="00EA49FF" w:rsidP="00D05B07">
            <w:pPr>
              <w:numPr>
                <w:ilvl w:val="0"/>
                <w:numId w:val="2"/>
              </w:numPr>
              <w:spacing w:after="0" w:line="240" w:lineRule="auto"/>
              <w:rPr>
                <w:rFonts w:ascii="Times New Roman" w:hAnsi="Times New Roman" w:cs="Times New Roman"/>
              </w:rPr>
            </w:pPr>
            <w:r w:rsidRPr="00A00BDE">
              <w:rPr>
                <w:rFonts w:ascii="Times New Roman" w:hAnsi="Times New Roman" w:cs="Times New Roman"/>
              </w:rPr>
              <w:t>Σαντορίνη</w:t>
            </w:r>
          </w:p>
        </w:tc>
        <w:tc>
          <w:tcPr>
            <w:tcW w:w="3536" w:type="dxa"/>
            <w:tcBorders>
              <w:top w:val="single" w:sz="4" w:space="0" w:color="auto"/>
              <w:left w:val="single" w:sz="4" w:space="0" w:color="auto"/>
              <w:bottom w:val="single" w:sz="4" w:space="0" w:color="auto"/>
              <w:right w:val="single" w:sz="4" w:space="0" w:color="auto"/>
            </w:tcBorders>
            <w:vAlign w:val="bottom"/>
            <w:hideMark/>
          </w:tcPr>
          <w:p w:rsidR="00EA49FF" w:rsidRPr="00A00BDE" w:rsidRDefault="00EA49FF" w:rsidP="00EA49FF">
            <w:pPr>
              <w:rPr>
                <w:rFonts w:ascii="Times New Roman" w:hAnsi="Times New Roman" w:cs="Times New Roman"/>
              </w:rPr>
            </w:pPr>
            <w:r w:rsidRPr="00A00BDE">
              <w:rPr>
                <w:rFonts w:ascii="Times New Roman" w:hAnsi="Times New Roman" w:cs="Times New Roman"/>
              </w:rPr>
              <w:t>ΣΤΑ ΙΔΙΑ ΕΠΙΠΕΔΑ ΜΕ ΤΟΝ ΠΡΟΗΓΟΥΜΕΝΟ ΧΡΟΝΟ</w:t>
            </w:r>
          </w:p>
        </w:tc>
      </w:tr>
    </w:tbl>
    <w:p w:rsidR="00D05B07" w:rsidRDefault="00D05B07" w:rsidP="00615E6C">
      <w:pPr>
        <w:pStyle w:val="a3"/>
        <w:spacing w:before="80"/>
        <w:jc w:val="both"/>
        <w:rPr>
          <w:rFonts w:ascii="Times New Roman" w:hAnsi="Times New Roman"/>
          <w:sz w:val="24"/>
          <w:szCs w:val="24"/>
        </w:rPr>
      </w:pPr>
    </w:p>
    <w:p w:rsidR="00AA12B0" w:rsidRDefault="00AA12B0" w:rsidP="005B58DA">
      <w:pPr>
        <w:pStyle w:val="a3"/>
        <w:spacing w:before="80"/>
        <w:jc w:val="both"/>
        <w:rPr>
          <w:rFonts w:ascii="Times New Roman" w:hAnsi="Times New Roman"/>
          <w:b/>
          <w:i/>
          <w:sz w:val="22"/>
          <w:szCs w:val="22"/>
          <w:u w:val="single"/>
        </w:rPr>
      </w:pPr>
    </w:p>
    <w:p w:rsidR="00AA12B0" w:rsidRDefault="00AA12B0" w:rsidP="005B58DA">
      <w:pPr>
        <w:pStyle w:val="a3"/>
        <w:spacing w:before="80"/>
        <w:jc w:val="both"/>
        <w:rPr>
          <w:rFonts w:ascii="Times New Roman" w:hAnsi="Times New Roman"/>
          <w:b/>
          <w:i/>
          <w:sz w:val="22"/>
          <w:szCs w:val="22"/>
          <w:u w:val="single"/>
        </w:rPr>
      </w:pPr>
    </w:p>
    <w:p w:rsidR="00AA12B0" w:rsidRDefault="00AA12B0" w:rsidP="005B58DA">
      <w:pPr>
        <w:pStyle w:val="a3"/>
        <w:spacing w:before="80"/>
        <w:jc w:val="both"/>
        <w:rPr>
          <w:rFonts w:ascii="Times New Roman" w:hAnsi="Times New Roman"/>
          <w:b/>
          <w:i/>
          <w:sz w:val="22"/>
          <w:szCs w:val="22"/>
          <w:u w:val="single"/>
        </w:rPr>
      </w:pPr>
    </w:p>
    <w:p w:rsidR="00AA12B0" w:rsidRDefault="00AA12B0" w:rsidP="005B58DA">
      <w:pPr>
        <w:pStyle w:val="a3"/>
        <w:spacing w:before="80"/>
        <w:jc w:val="both"/>
        <w:rPr>
          <w:rFonts w:ascii="Times New Roman" w:hAnsi="Times New Roman"/>
          <w:b/>
          <w:i/>
          <w:sz w:val="22"/>
          <w:szCs w:val="22"/>
          <w:u w:val="single"/>
        </w:rPr>
      </w:pPr>
    </w:p>
    <w:p w:rsidR="005B58DA" w:rsidRPr="00A00BDE" w:rsidRDefault="00EA49FF" w:rsidP="005B58DA">
      <w:pPr>
        <w:pStyle w:val="a3"/>
        <w:spacing w:before="80"/>
        <w:jc w:val="both"/>
        <w:rPr>
          <w:rFonts w:ascii="Times New Roman" w:hAnsi="Times New Roman"/>
          <w:b/>
          <w:i/>
          <w:sz w:val="22"/>
          <w:szCs w:val="22"/>
          <w:u w:val="single"/>
        </w:rPr>
      </w:pPr>
      <w:r w:rsidRPr="00A00BDE">
        <w:rPr>
          <w:rFonts w:ascii="Times New Roman" w:hAnsi="Times New Roman"/>
          <w:b/>
          <w:i/>
          <w:sz w:val="22"/>
          <w:szCs w:val="22"/>
          <w:u w:val="single"/>
        </w:rPr>
        <w:lastRenderedPageBreak/>
        <w:t xml:space="preserve">Ο μύθος της </w:t>
      </w:r>
      <w:r w:rsidR="005B58DA" w:rsidRPr="00A00BDE">
        <w:rPr>
          <w:rFonts w:ascii="Times New Roman" w:hAnsi="Times New Roman"/>
          <w:b/>
          <w:i/>
          <w:sz w:val="22"/>
          <w:szCs w:val="22"/>
          <w:u w:val="single"/>
        </w:rPr>
        <w:t>Κυριακή</w:t>
      </w:r>
      <w:r w:rsidRPr="00A00BDE">
        <w:rPr>
          <w:rFonts w:ascii="Times New Roman" w:hAnsi="Times New Roman"/>
          <w:b/>
          <w:i/>
          <w:sz w:val="22"/>
          <w:szCs w:val="22"/>
          <w:u w:val="single"/>
        </w:rPr>
        <w:t>ς</w:t>
      </w:r>
    </w:p>
    <w:p w:rsidR="00B62EE8" w:rsidRPr="00A00BDE" w:rsidRDefault="00B62EE8" w:rsidP="005B58DA">
      <w:pPr>
        <w:pStyle w:val="a3"/>
        <w:spacing w:before="80"/>
        <w:jc w:val="both"/>
        <w:rPr>
          <w:rFonts w:ascii="Times New Roman" w:hAnsi="Times New Roman"/>
          <w:b/>
          <w:i/>
          <w:sz w:val="22"/>
          <w:szCs w:val="22"/>
          <w:u w:val="single"/>
        </w:rPr>
      </w:pPr>
    </w:p>
    <w:p w:rsidR="00615E6C" w:rsidRPr="00A00BDE" w:rsidRDefault="005B58DA" w:rsidP="00D05B07">
      <w:pPr>
        <w:pStyle w:val="a3"/>
        <w:spacing w:line="360" w:lineRule="atLeast"/>
        <w:jc w:val="both"/>
        <w:rPr>
          <w:rFonts w:ascii="Times New Roman" w:hAnsi="Times New Roman"/>
          <w:sz w:val="22"/>
          <w:szCs w:val="22"/>
        </w:rPr>
      </w:pPr>
      <w:r w:rsidRPr="00A00BDE">
        <w:rPr>
          <w:rFonts w:ascii="Times New Roman" w:hAnsi="Times New Roman"/>
          <w:sz w:val="22"/>
          <w:szCs w:val="22"/>
        </w:rPr>
        <w:t>Στο πλαίσιο της έρευνας, οι έμποροι ρωτήθηκαν εάν, σύμφωνα με την δυνατότητα που τους εκχωρεί η πρόσφατη υπουργική απόφαση, άνοιξαν τα καταστήματά</w:t>
      </w:r>
      <w:r w:rsidR="00134491" w:rsidRPr="00A00BDE">
        <w:rPr>
          <w:rFonts w:ascii="Times New Roman" w:hAnsi="Times New Roman"/>
          <w:sz w:val="22"/>
          <w:szCs w:val="22"/>
        </w:rPr>
        <w:t xml:space="preserve"> τους τις Κυριακές</w:t>
      </w:r>
      <w:r w:rsidRPr="00A00BDE">
        <w:rPr>
          <w:rFonts w:ascii="Times New Roman" w:hAnsi="Times New Roman"/>
          <w:sz w:val="22"/>
          <w:szCs w:val="22"/>
        </w:rPr>
        <w:t>. Με βάση τα αποτελέσματα της έρευνας εκτιμάται ότι ο αριθμός των καταστημάτων που άνοιξαν την Κυριακή είναι μικρός, ενώ υπενθυμίζεται ότι, και την πρώτη Κυριακή των εκπτώσεων (20 Ιουλίου) είχε διαπιστωθεί ότι ένα πολύ μεγάλο ποσοστό επιχ</w:t>
      </w:r>
      <w:r w:rsidR="00C6564A" w:rsidRPr="00A00BDE">
        <w:rPr>
          <w:rFonts w:ascii="Times New Roman" w:hAnsi="Times New Roman"/>
          <w:sz w:val="22"/>
          <w:szCs w:val="22"/>
        </w:rPr>
        <w:t>ειρήσεων δεν παρέμειναν ανοιχτά, όπως για παράδειγμα στη Θεσσαλονίκη όπου τα καταστήματα που άνοιξαν τις Κυριακές αριθμούνται μόλις 17 στο κεντρικότερο εμπορικό δρόμο της πόλης (</w:t>
      </w:r>
      <w:proofErr w:type="spellStart"/>
      <w:r w:rsidR="00C6564A" w:rsidRPr="00A00BDE">
        <w:rPr>
          <w:rFonts w:ascii="Times New Roman" w:hAnsi="Times New Roman"/>
          <w:sz w:val="22"/>
          <w:szCs w:val="22"/>
        </w:rPr>
        <w:t>Τσιμισκή</w:t>
      </w:r>
      <w:proofErr w:type="spellEnd"/>
      <w:r w:rsidR="00C6564A" w:rsidRPr="00A00BDE">
        <w:rPr>
          <w:rFonts w:ascii="Times New Roman" w:hAnsi="Times New Roman"/>
          <w:sz w:val="22"/>
          <w:szCs w:val="22"/>
        </w:rPr>
        <w:t>) και αφορούν μεγάλες διεθνικές αλυσίδες.</w:t>
      </w:r>
    </w:p>
    <w:p w:rsidR="005B58DA" w:rsidRPr="00A00BDE" w:rsidRDefault="005B58DA" w:rsidP="00A00BDE">
      <w:pPr>
        <w:pStyle w:val="a3"/>
        <w:spacing w:before="80" w:line="360" w:lineRule="atLeast"/>
        <w:jc w:val="both"/>
        <w:rPr>
          <w:rFonts w:ascii="Times New Roman" w:hAnsi="Times New Roman"/>
          <w:sz w:val="22"/>
          <w:szCs w:val="22"/>
        </w:rPr>
      </w:pPr>
      <w:r w:rsidRPr="00A00BDE">
        <w:rPr>
          <w:rFonts w:ascii="Times New Roman" w:hAnsi="Times New Roman"/>
          <w:sz w:val="22"/>
          <w:szCs w:val="22"/>
        </w:rPr>
        <w:t xml:space="preserve">Ωστόσο, για τα καταστήματα που άνοιξαν, υπήρξε σχετική ταύτιση των απόψεων των επιχειρηματιών </w:t>
      </w:r>
      <w:r w:rsidR="00C6564A" w:rsidRPr="00A00BDE">
        <w:rPr>
          <w:rFonts w:ascii="Times New Roman" w:hAnsi="Times New Roman"/>
          <w:sz w:val="22"/>
          <w:szCs w:val="22"/>
        </w:rPr>
        <w:t xml:space="preserve">αναφορικά με τις επιπτώσεις του ανοίγματος στα έσοδα της επιχείρησης τον Ιούλιο και τον Αύγουστο σε σύγκριση με τον ίδιο μήνα του προηγούμενου έτους. </w:t>
      </w:r>
    </w:p>
    <w:p w:rsidR="00D05B07" w:rsidRPr="00A00BDE" w:rsidRDefault="00D05B07" w:rsidP="00D05B07">
      <w:pPr>
        <w:pStyle w:val="a3"/>
        <w:spacing w:line="360" w:lineRule="atLeast"/>
        <w:jc w:val="both"/>
        <w:rPr>
          <w:rFonts w:ascii="Times New Roman" w:hAnsi="Times New Roman"/>
          <w:sz w:val="22"/>
          <w:szCs w:val="22"/>
        </w:rPr>
      </w:pPr>
    </w:p>
    <w:p w:rsidR="00134491" w:rsidRDefault="00615E6C" w:rsidP="00737908">
      <w:pPr>
        <w:pStyle w:val="a3"/>
        <w:jc w:val="center"/>
        <w:rPr>
          <w:rFonts w:ascii="Times New Roman" w:hAnsi="Times New Roman"/>
          <w:sz w:val="24"/>
          <w:szCs w:val="24"/>
        </w:rPr>
      </w:pPr>
      <w:r w:rsidRPr="00615E6C">
        <w:rPr>
          <w:rFonts w:ascii="Times New Roman" w:hAnsi="Times New Roman"/>
          <w:noProof/>
          <w:sz w:val="24"/>
          <w:szCs w:val="24"/>
          <w:lang w:eastAsia="el-GR"/>
        </w:rPr>
        <w:drawing>
          <wp:inline distT="0" distB="0" distL="0" distR="0">
            <wp:extent cx="4370070" cy="2409245"/>
            <wp:effectExtent l="19050" t="0" r="0" b="0"/>
            <wp:docPr id="22"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371900" cy="2410254"/>
                    </a:xfrm>
                    <a:prstGeom prst="rect">
                      <a:avLst/>
                    </a:prstGeom>
                    <a:noFill/>
                  </pic:spPr>
                </pic:pic>
              </a:graphicData>
            </a:graphic>
          </wp:inline>
        </w:drawing>
      </w:r>
    </w:p>
    <w:p w:rsidR="00615E6C" w:rsidRDefault="00615E6C" w:rsidP="00737908">
      <w:pPr>
        <w:pStyle w:val="a3"/>
        <w:jc w:val="center"/>
        <w:rPr>
          <w:rFonts w:ascii="Times New Roman" w:hAnsi="Times New Roman"/>
          <w:sz w:val="24"/>
          <w:szCs w:val="24"/>
        </w:rPr>
      </w:pPr>
    </w:p>
    <w:p w:rsidR="00134491" w:rsidRDefault="00134491" w:rsidP="00737908">
      <w:pPr>
        <w:jc w:val="center"/>
        <w:rPr>
          <w:sz w:val="24"/>
          <w:szCs w:val="24"/>
        </w:rPr>
      </w:pPr>
      <w:r w:rsidRPr="00134491">
        <w:rPr>
          <w:noProof/>
          <w:sz w:val="24"/>
          <w:szCs w:val="24"/>
          <w:lang w:eastAsia="el-GR"/>
        </w:rPr>
        <w:drawing>
          <wp:inline distT="0" distB="0" distL="0" distR="0">
            <wp:extent cx="4362118" cy="2592126"/>
            <wp:effectExtent l="19050" t="0" r="19382" b="0"/>
            <wp:docPr id="17" name="Γράφημα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34491" w:rsidRPr="00A00BDE" w:rsidRDefault="00C6564A" w:rsidP="00A87D30">
      <w:pPr>
        <w:jc w:val="both"/>
        <w:rPr>
          <w:rFonts w:ascii="Times New Roman" w:hAnsi="Times New Roman"/>
        </w:rPr>
      </w:pPr>
      <w:r w:rsidRPr="00A00BDE">
        <w:rPr>
          <w:rFonts w:ascii="Times New Roman" w:hAnsi="Times New Roman"/>
        </w:rPr>
        <w:t>Αναλυτικότερα, το 49% και το 54% των επιχειρήσεων είδε τα έσοδ</w:t>
      </w:r>
      <w:r w:rsidR="00792F29" w:rsidRPr="00A00BDE">
        <w:rPr>
          <w:rFonts w:ascii="Times New Roman" w:hAnsi="Times New Roman"/>
        </w:rPr>
        <w:t>ά</w:t>
      </w:r>
      <w:r w:rsidRPr="00A00BDE">
        <w:rPr>
          <w:rFonts w:ascii="Times New Roman" w:hAnsi="Times New Roman"/>
        </w:rPr>
        <w:t xml:space="preserve"> του να μειώνονται τον Ιούλιο και τον Αύγουστο αντίστοιχα</w:t>
      </w:r>
      <w:r w:rsidR="007C5B5F" w:rsidRPr="00A00BDE">
        <w:rPr>
          <w:rFonts w:ascii="Times New Roman" w:hAnsi="Times New Roman"/>
        </w:rPr>
        <w:t>,</w:t>
      </w:r>
      <w:r w:rsidRPr="00A00BDE">
        <w:rPr>
          <w:rFonts w:ascii="Times New Roman" w:hAnsi="Times New Roman"/>
        </w:rPr>
        <w:t xml:space="preserve"> σε σύγκριση με ένα χρόνο πριν. </w:t>
      </w:r>
      <w:r w:rsidR="007C5B5F" w:rsidRPr="00A00BDE">
        <w:rPr>
          <w:rFonts w:ascii="Times New Roman" w:hAnsi="Times New Roman"/>
        </w:rPr>
        <w:t>Μόλις το 18% των επιχειρήσεων δήλωσε αύξηση στα έσοδα, ενώ το υπόλοιπο 32% - 33% δήλωσε στασιμότητα.</w:t>
      </w:r>
    </w:p>
    <w:p w:rsidR="003C5A51" w:rsidRDefault="00134491" w:rsidP="00737908">
      <w:pPr>
        <w:tabs>
          <w:tab w:val="left" w:pos="1941"/>
        </w:tabs>
        <w:jc w:val="center"/>
        <w:rPr>
          <w:sz w:val="24"/>
          <w:szCs w:val="24"/>
        </w:rPr>
      </w:pPr>
      <w:r w:rsidRPr="00134491">
        <w:rPr>
          <w:noProof/>
          <w:sz w:val="24"/>
          <w:szCs w:val="24"/>
          <w:lang w:eastAsia="el-GR"/>
        </w:rPr>
        <w:lastRenderedPageBreak/>
        <w:drawing>
          <wp:inline distT="0" distB="0" distL="0" distR="0">
            <wp:extent cx="4423216" cy="2313830"/>
            <wp:effectExtent l="19050" t="0" r="15434" b="0"/>
            <wp:docPr id="18" name="Γράφημα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34491" w:rsidRPr="00A00BDE" w:rsidRDefault="007C5B5F" w:rsidP="00D05B07">
      <w:pPr>
        <w:spacing w:line="360" w:lineRule="atLeast"/>
        <w:jc w:val="both"/>
        <w:rPr>
          <w:rFonts w:ascii="Times New Roman" w:hAnsi="Times New Roman"/>
        </w:rPr>
      </w:pPr>
      <w:r w:rsidRPr="00A00BDE">
        <w:rPr>
          <w:rFonts w:ascii="Times New Roman" w:hAnsi="Times New Roman"/>
        </w:rPr>
        <w:t>Αναφορικά με τον αριθμό των απασχολούμενων, το 80% έχει διατηρήσει στα ίδια επίπεδα την απασχόληση της επιχείρησης του ενώ το 16,1% προέβη σε μείωση προσωπικού τον τελευταίο χρόνο.  Επιπλέον, το άνοιγμα των Κυριακών, τουλάχιστον έως σήμερα</w:t>
      </w:r>
      <w:r w:rsidR="00A87D30" w:rsidRPr="00A00BDE">
        <w:rPr>
          <w:rFonts w:ascii="Times New Roman" w:hAnsi="Times New Roman"/>
        </w:rPr>
        <w:t xml:space="preserve">, δεν φαίνεται να συνδέεται με την αύξηση της απασχόλησης, αφού μόλις το 25% δηλώνει κάποια πρόθεση να προσλάβει κάποιον στο μέλλον, ενώ το συντριπτικό 75% δεν σκοπεύει να προσλάβει επιπλέον προσωπικό. </w:t>
      </w:r>
    </w:p>
    <w:p w:rsidR="00134491" w:rsidRDefault="00134491" w:rsidP="00737908">
      <w:pPr>
        <w:tabs>
          <w:tab w:val="left" w:pos="1941"/>
        </w:tabs>
        <w:jc w:val="center"/>
        <w:rPr>
          <w:sz w:val="24"/>
          <w:szCs w:val="24"/>
        </w:rPr>
      </w:pPr>
      <w:r w:rsidRPr="00134491">
        <w:rPr>
          <w:noProof/>
          <w:sz w:val="24"/>
          <w:szCs w:val="24"/>
          <w:lang w:eastAsia="el-GR"/>
        </w:rPr>
        <w:drawing>
          <wp:inline distT="0" distB="0" distL="0" distR="0">
            <wp:extent cx="4481416" cy="2186609"/>
            <wp:effectExtent l="19050" t="0" r="14384" b="4141"/>
            <wp:docPr id="19" name="Γράφημα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37908" w:rsidRPr="00A00BDE" w:rsidRDefault="00737908" w:rsidP="00D05B07">
      <w:pPr>
        <w:tabs>
          <w:tab w:val="left" w:pos="1941"/>
        </w:tabs>
        <w:spacing w:line="360" w:lineRule="atLeast"/>
        <w:jc w:val="both"/>
        <w:rPr>
          <w:rFonts w:ascii="Times New Roman" w:hAnsi="Times New Roman"/>
        </w:rPr>
      </w:pPr>
      <w:r w:rsidRPr="00A00BDE">
        <w:rPr>
          <w:rFonts w:ascii="Times New Roman" w:hAnsi="Times New Roman"/>
        </w:rPr>
        <w:t xml:space="preserve">Αν αποκωδικοποιήσουμε τις απαντήσεις του ερωτηματολόγιο στην μέτρηση τριών βασικών μεγεθών τα οποία αποτελούν τις ενδείξεις της αποτελεσματικότητας του μέτρου, τα οποία είναι α) Απασχόληση β) έσοδα γ) </w:t>
      </w:r>
      <w:proofErr w:type="spellStart"/>
      <w:r w:rsidRPr="00A00BDE">
        <w:rPr>
          <w:rFonts w:ascii="Times New Roman" w:hAnsi="Times New Roman"/>
        </w:rPr>
        <w:t>επισκεψιμότητα</w:t>
      </w:r>
      <w:proofErr w:type="spellEnd"/>
      <w:r w:rsidRPr="00A00BDE">
        <w:rPr>
          <w:rFonts w:ascii="Times New Roman" w:hAnsi="Times New Roman"/>
        </w:rPr>
        <w:t>, μπορούμε εύκολα να διακρίνουμε ότι μέχρι σήμερα κανένα από τα μεγέθη δεν παρουσιάζει βελτίωση</w:t>
      </w:r>
      <w:r w:rsidR="00632E54" w:rsidRPr="00A00BDE">
        <w:rPr>
          <w:rFonts w:ascii="Times New Roman" w:hAnsi="Times New Roman"/>
        </w:rPr>
        <w:t>,</w:t>
      </w:r>
      <w:r w:rsidRPr="00A00BDE">
        <w:rPr>
          <w:rFonts w:ascii="Times New Roman" w:hAnsi="Times New Roman"/>
        </w:rPr>
        <w:t xml:space="preserve"> ενώ αντίθετα το κόστος λειτουργίας ως μέγεθος αναποτελεσματικότητας του μέτρου φαίνεται ότι μεγαλώνει. </w:t>
      </w:r>
    </w:p>
    <w:tbl>
      <w:tblPr>
        <w:tblStyle w:val="-5"/>
        <w:tblW w:w="0" w:type="auto"/>
        <w:tblLook w:val="04A0"/>
      </w:tblPr>
      <w:tblGrid>
        <w:gridCol w:w="2840"/>
        <w:gridCol w:w="2841"/>
        <w:gridCol w:w="2841"/>
      </w:tblGrid>
      <w:tr w:rsidR="00737908" w:rsidRPr="00615E6C" w:rsidTr="00615E6C">
        <w:trPr>
          <w:cnfStyle w:val="100000000000"/>
        </w:trPr>
        <w:tc>
          <w:tcPr>
            <w:cnfStyle w:val="001000000000"/>
            <w:tcW w:w="2840" w:type="dxa"/>
          </w:tcPr>
          <w:p w:rsidR="00737908" w:rsidRPr="00615E6C" w:rsidRDefault="00737908" w:rsidP="00737908">
            <w:pPr>
              <w:tabs>
                <w:tab w:val="left" w:pos="1941"/>
              </w:tabs>
              <w:jc w:val="center"/>
              <w:rPr>
                <w:b w:val="0"/>
                <w:sz w:val="32"/>
                <w:szCs w:val="32"/>
              </w:rPr>
            </w:pPr>
            <w:r w:rsidRPr="00615E6C">
              <w:rPr>
                <w:b w:val="0"/>
                <w:sz w:val="32"/>
                <w:szCs w:val="32"/>
              </w:rPr>
              <w:t>Μέγεθος</w:t>
            </w:r>
          </w:p>
        </w:tc>
        <w:tc>
          <w:tcPr>
            <w:tcW w:w="2841" w:type="dxa"/>
          </w:tcPr>
          <w:p w:rsidR="00737908" w:rsidRPr="00615E6C" w:rsidRDefault="00737908" w:rsidP="00EA49FF">
            <w:pPr>
              <w:tabs>
                <w:tab w:val="left" w:pos="1941"/>
              </w:tabs>
              <w:jc w:val="center"/>
              <w:cnfStyle w:val="100000000000"/>
              <w:rPr>
                <w:b w:val="0"/>
                <w:sz w:val="32"/>
                <w:szCs w:val="32"/>
              </w:rPr>
            </w:pPr>
            <w:r w:rsidRPr="00615E6C">
              <w:rPr>
                <w:b w:val="0"/>
                <w:sz w:val="32"/>
                <w:szCs w:val="32"/>
              </w:rPr>
              <w:t xml:space="preserve">Τι </w:t>
            </w:r>
            <w:r w:rsidR="00EA49FF">
              <w:rPr>
                <w:b w:val="0"/>
                <w:sz w:val="32"/>
                <w:szCs w:val="32"/>
              </w:rPr>
              <w:t>ισχυρίστηκε η Κυβέρνηση</w:t>
            </w:r>
            <w:r w:rsidRPr="00615E6C">
              <w:rPr>
                <w:b w:val="0"/>
                <w:sz w:val="32"/>
                <w:szCs w:val="32"/>
              </w:rPr>
              <w:t>;</w:t>
            </w:r>
          </w:p>
        </w:tc>
        <w:tc>
          <w:tcPr>
            <w:tcW w:w="2841" w:type="dxa"/>
          </w:tcPr>
          <w:p w:rsidR="00737908" w:rsidRPr="00615E6C" w:rsidRDefault="00EA49FF" w:rsidP="00737908">
            <w:pPr>
              <w:tabs>
                <w:tab w:val="left" w:pos="1941"/>
              </w:tabs>
              <w:jc w:val="center"/>
              <w:cnfStyle w:val="100000000000"/>
              <w:rPr>
                <w:b w:val="0"/>
                <w:sz w:val="32"/>
                <w:szCs w:val="32"/>
              </w:rPr>
            </w:pPr>
            <w:r>
              <w:rPr>
                <w:b w:val="0"/>
                <w:sz w:val="32"/>
                <w:szCs w:val="32"/>
              </w:rPr>
              <w:t>Ποιο ήταν το α</w:t>
            </w:r>
            <w:r w:rsidR="00737908" w:rsidRPr="00615E6C">
              <w:rPr>
                <w:b w:val="0"/>
                <w:sz w:val="32"/>
                <w:szCs w:val="32"/>
              </w:rPr>
              <w:t>ποτέλεσμα;</w:t>
            </w:r>
          </w:p>
        </w:tc>
      </w:tr>
      <w:tr w:rsidR="00737908" w:rsidTr="00615E6C">
        <w:trPr>
          <w:cnfStyle w:val="000000100000"/>
        </w:trPr>
        <w:tc>
          <w:tcPr>
            <w:cnfStyle w:val="001000000000"/>
            <w:tcW w:w="2840" w:type="dxa"/>
          </w:tcPr>
          <w:p w:rsidR="00737908" w:rsidRDefault="00737908" w:rsidP="00737908">
            <w:pPr>
              <w:tabs>
                <w:tab w:val="left" w:pos="1941"/>
              </w:tabs>
              <w:jc w:val="center"/>
              <w:rPr>
                <w:sz w:val="24"/>
                <w:szCs w:val="24"/>
              </w:rPr>
            </w:pPr>
            <w:r>
              <w:rPr>
                <w:sz w:val="24"/>
                <w:szCs w:val="24"/>
              </w:rPr>
              <w:t>Έσοδα</w:t>
            </w:r>
          </w:p>
        </w:tc>
        <w:tc>
          <w:tcPr>
            <w:tcW w:w="2841" w:type="dxa"/>
          </w:tcPr>
          <w:p w:rsidR="00737908" w:rsidRDefault="00737908" w:rsidP="00737908">
            <w:pPr>
              <w:tabs>
                <w:tab w:val="left" w:pos="1941"/>
              </w:tabs>
              <w:jc w:val="center"/>
              <w:cnfStyle w:val="000000100000"/>
              <w:rPr>
                <w:sz w:val="24"/>
                <w:szCs w:val="24"/>
              </w:rPr>
            </w:pPr>
            <w:r>
              <w:rPr>
                <w:sz w:val="24"/>
                <w:szCs w:val="24"/>
              </w:rPr>
              <w:t>Αύξηση</w:t>
            </w:r>
          </w:p>
        </w:tc>
        <w:tc>
          <w:tcPr>
            <w:tcW w:w="2841" w:type="dxa"/>
          </w:tcPr>
          <w:p w:rsidR="00737908" w:rsidRDefault="00737908" w:rsidP="00737908">
            <w:pPr>
              <w:tabs>
                <w:tab w:val="left" w:pos="1941"/>
              </w:tabs>
              <w:jc w:val="center"/>
              <w:cnfStyle w:val="000000100000"/>
              <w:rPr>
                <w:sz w:val="24"/>
                <w:szCs w:val="24"/>
              </w:rPr>
            </w:pPr>
            <w:r>
              <w:rPr>
                <w:sz w:val="24"/>
                <w:szCs w:val="24"/>
              </w:rPr>
              <w:t>Μείωση</w:t>
            </w:r>
          </w:p>
        </w:tc>
      </w:tr>
      <w:tr w:rsidR="00737908" w:rsidTr="00615E6C">
        <w:tc>
          <w:tcPr>
            <w:cnfStyle w:val="001000000000"/>
            <w:tcW w:w="2840" w:type="dxa"/>
          </w:tcPr>
          <w:p w:rsidR="00737908" w:rsidRDefault="00737908" w:rsidP="00737908">
            <w:pPr>
              <w:tabs>
                <w:tab w:val="left" w:pos="1941"/>
              </w:tabs>
              <w:jc w:val="center"/>
              <w:rPr>
                <w:sz w:val="24"/>
                <w:szCs w:val="24"/>
              </w:rPr>
            </w:pPr>
            <w:r>
              <w:rPr>
                <w:sz w:val="24"/>
                <w:szCs w:val="24"/>
              </w:rPr>
              <w:t>Απασχόληση</w:t>
            </w:r>
          </w:p>
        </w:tc>
        <w:tc>
          <w:tcPr>
            <w:tcW w:w="2841" w:type="dxa"/>
          </w:tcPr>
          <w:p w:rsidR="00737908" w:rsidRDefault="00737908" w:rsidP="00737908">
            <w:pPr>
              <w:tabs>
                <w:tab w:val="left" w:pos="1941"/>
              </w:tabs>
              <w:jc w:val="center"/>
              <w:cnfStyle w:val="000000000000"/>
              <w:rPr>
                <w:sz w:val="24"/>
                <w:szCs w:val="24"/>
              </w:rPr>
            </w:pPr>
            <w:r>
              <w:rPr>
                <w:sz w:val="24"/>
                <w:szCs w:val="24"/>
              </w:rPr>
              <w:t>Αύξηση</w:t>
            </w:r>
          </w:p>
        </w:tc>
        <w:tc>
          <w:tcPr>
            <w:tcW w:w="2841" w:type="dxa"/>
          </w:tcPr>
          <w:p w:rsidR="00737908" w:rsidRDefault="00737908" w:rsidP="00737908">
            <w:pPr>
              <w:tabs>
                <w:tab w:val="left" w:pos="1941"/>
              </w:tabs>
              <w:jc w:val="center"/>
              <w:cnfStyle w:val="000000000000"/>
              <w:rPr>
                <w:sz w:val="24"/>
                <w:szCs w:val="24"/>
              </w:rPr>
            </w:pPr>
            <w:r>
              <w:rPr>
                <w:sz w:val="24"/>
                <w:szCs w:val="24"/>
              </w:rPr>
              <w:t>Σταθερότητα</w:t>
            </w:r>
          </w:p>
        </w:tc>
      </w:tr>
      <w:tr w:rsidR="00737908" w:rsidTr="00615E6C">
        <w:trPr>
          <w:cnfStyle w:val="000000100000"/>
        </w:trPr>
        <w:tc>
          <w:tcPr>
            <w:cnfStyle w:val="001000000000"/>
            <w:tcW w:w="2840" w:type="dxa"/>
          </w:tcPr>
          <w:p w:rsidR="00737908" w:rsidRDefault="00737908" w:rsidP="00737908">
            <w:pPr>
              <w:tabs>
                <w:tab w:val="left" w:pos="1941"/>
              </w:tabs>
              <w:jc w:val="center"/>
              <w:rPr>
                <w:sz w:val="24"/>
                <w:szCs w:val="24"/>
              </w:rPr>
            </w:pPr>
            <w:proofErr w:type="spellStart"/>
            <w:r>
              <w:rPr>
                <w:sz w:val="24"/>
                <w:szCs w:val="24"/>
              </w:rPr>
              <w:t>Επισκεψιμότητα</w:t>
            </w:r>
            <w:proofErr w:type="spellEnd"/>
          </w:p>
        </w:tc>
        <w:tc>
          <w:tcPr>
            <w:tcW w:w="2841" w:type="dxa"/>
          </w:tcPr>
          <w:p w:rsidR="00737908" w:rsidRDefault="00737908" w:rsidP="00737908">
            <w:pPr>
              <w:tabs>
                <w:tab w:val="left" w:pos="1941"/>
              </w:tabs>
              <w:jc w:val="center"/>
              <w:cnfStyle w:val="000000100000"/>
              <w:rPr>
                <w:sz w:val="24"/>
                <w:szCs w:val="24"/>
              </w:rPr>
            </w:pPr>
            <w:r>
              <w:rPr>
                <w:sz w:val="24"/>
                <w:szCs w:val="24"/>
              </w:rPr>
              <w:t>Αύξηση</w:t>
            </w:r>
          </w:p>
        </w:tc>
        <w:tc>
          <w:tcPr>
            <w:tcW w:w="2841" w:type="dxa"/>
          </w:tcPr>
          <w:p w:rsidR="00737908" w:rsidRDefault="00737908" w:rsidP="00737908">
            <w:pPr>
              <w:tabs>
                <w:tab w:val="left" w:pos="1941"/>
              </w:tabs>
              <w:jc w:val="center"/>
              <w:cnfStyle w:val="000000100000"/>
              <w:rPr>
                <w:sz w:val="24"/>
                <w:szCs w:val="24"/>
              </w:rPr>
            </w:pPr>
            <w:r>
              <w:rPr>
                <w:sz w:val="24"/>
                <w:szCs w:val="24"/>
              </w:rPr>
              <w:t>Μείωση</w:t>
            </w:r>
          </w:p>
        </w:tc>
      </w:tr>
    </w:tbl>
    <w:p w:rsidR="007C5B5F" w:rsidRDefault="00134491" w:rsidP="00737908">
      <w:pPr>
        <w:jc w:val="center"/>
        <w:rPr>
          <w:sz w:val="24"/>
          <w:szCs w:val="24"/>
        </w:rPr>
      </w:pPr>
      <w:r w:rsidRPr="00134491">
        <w:rPr>
          <w:noProof/>
          <w:sz w:val="24"/>
          <w:szCs w:val="24"/>
          <w:lang w:eastAsia="el-GR"/>
        </w:rPr>
        <w:lastRenderedPageBreak/>
        <w:drawing>
          <wp:inline distT="0" distB="0" distL="0" distR="0">
            <wp:extent cx="4579371" cy="2266122"/>
            <wp:effectExtent l="19050" t="0" r="11679" b="828"/>
            <wp:docPr id="20" name="Γράφημα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05B07" w:rsidRPr="007C5B5F" w:rsidRDefault="00D05B07" w:rsidP="00737908">
      <w:pPr>
        <w:jc w:val="center"/>
        <w:rPr>
          <w:sz w:val="24"/>
          <w:szCs w:val="24"/>
        </w:rPr>
      </w:pPr>
    </w:p>
    <w:p w:rsidR="00134491" w:rsidRDefault="00134491" w:rsidP="00134491">
      <w:pPr>
        <w:tabs>
          <w:tab w:val="left" w:pos="2479"/>
        </w:tabs>
        <w:jc w:val="center"/>
        <w:rPr>
          <w:sz w:val="24"/>
          <w:szCs w:val="24"/>
        </w:rPr>
      </w:pPr>
      <w:r w:rsidRPr="00134491">
        <w:rPr>
          <w:noProof/>
          <w:sz w:val="24"/>
          <w:szCs w:val="24"/>
          <w:lang w:eastAsia="el-GR"/>
        </w:rPr>
        <w:drawing>
          <wp:inline distT="0" distB="0" distL="0" distR="0">
            <wp:extent cx="4579371" cy="2258170"/>
            <wp:effectExtent l="19050" t="0" r="11679" b="8780"/>
            <wp:docPr id="21" name="Γράφημα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10FE8" w:rsidRDefault="00010FE8" w:rsidP="00010FE8">
      <w:pPr>
        <w:tabs>
          <w:tab w:val="left" w:pos="2479"/>
        </w:tabs>
        <w:jc w:val="both"/>
        <w:rPr>
          <w:sz w:val="24"/>
          <w:szCs w:val="24"/>
        </w:rPr>
      </w:pPr>
    </w:p>
    <w:p w:rsidR="00EA49FF" w:rsidRPr="002E71D9" w:rsidRDefault="00EA49FF" w:rsidP="00010FE8">
      <w:pPr>
        <w:tabs>
          <w:tab w:val="left" w:pos="2479"/>
        </w:tabs>
        <w:jc w:val="both"/>
        <w:rPr>
          <w:rFonts w:ascii="Times New Roman" w:hAnsi="Times New Roman"/>
          <w:i/>
          <w:sz w:val="24"/>
          <w:szCs w:val="24"/>
        </w:rPr>
      </w:pPr>
      <w:r w:rsidRPr="002E71D9">
        <w:rPr>
          <w:rFonts w:ascii="Times New Roman" w:hAnsi="Times New Roman"/>
          <w:sz w:val="24"/>
          <w:szCs w:val="24"/>
        </w:rPr>
        <w:t xml:space="preserve">Ο πρόεδρος της ΕΣΕΕ, κ. </w:t>
      </w:r>
      <w:r w:rsidRPr="002E71D9">
        <w:rPr>
          <w:rFonts w:ascii="Times New Roman" w:hAnsi="Times New Roman"/>
          <w:b/>
          <w:sz w:val="24"/>
          <w:szCs w:val="24"/>
        </w:rPr>
        <w:t>Βασίλης Κορκίδης</w:t>
      </w:r>
      <w:r w:rsidRPr="002E71D9">
        <w:rPr>
          <w:rFonts w:ascii="Times New Roman" w:hAnsi="Times New Roman"/>
          <w:sz w:val="24"/>
          <w:szCs w:val="24"/>
        </w:rPr>
        <w:t xml:space="preserve"> σχολίασε</w:t>
      </w:r>
      <w:r w:rsidR="00393C72" w:rsidRPr="002E71D9">
        <w:rPr>
          <w:rFonts w:ascii="Times New Roman" w:hAnsi="Times New Roman"/>
          <w:sz w:val="24"/>
          <w:szCs w:val="24"/>
        </w:rPr>
        <w:t xml:space="preserve"> τα αποτελέσματα</w:t>
      </w:r>
      <w:r w:rsidRPr="002E71D9">
        <w:rPr>
          <w:rFonts w:ascii="Times New Roman" w:hAnsi="Times New Roman"/>
          <w:sz w:val="24"/>
          <w:szCs w:val="24"/>
        </w:rPr>
        <w:t>: «</w:t>
      </w:r>
      <w:r w:rsidRPr="002E71D9">
        <w:rPr>
          <w:rFonts w:ascii="Times New Roman" w:hAnsi="Times New Roman"/>
          <w:i/>
          <w:sz w:val="24"/>
          <w:szCs w:val="24"/>
        </w:rPr>
        <w:t xml:space="preserve">Οι καλοκαιρινές φετινές εκπτώσεις τελείωσαν σαν να μην ξεκίνησαν ποτέ! </w:t>
      </w:r>
      <w:r w:rsidR="00010FE8" w:rsidRPr="002E71D9">
        <w:rPr>
          <w:rFonts w:ascii="Times New Roman" w:hAnsi="Times New Roman"/>
          <w:i/>
          <w:sz w:val="24"/>
          <w:szCs w:val="24"/>
        </w:rPr>
        <w:t>Το ενδιαφέρον ήταν μικρό και η κατανάλωση αδύναμη τόσο στα αστικά κέντρα όσο και κυρίως στις τουριστικές περιοχές, κάτι που έχει προκαλέσει στον εμπορικό κόσμο μεγάλη ανησυχία. Μάλιστα</w:t>
      </w:r>
      <w:r w:rsidR="003F6A5D">
        <w:rPr>
          <w:rFonts w:ascii="Times New Roman" w:hAnsi="Times New Roman"/>
          <w:i/>
          <w:sz w:val="24"/>
          <w:szCs w:val="24"/>
        </w:rPr>
        <w:t>,</w:t>
      </w:r>
      <w:r w:rsidR="00010FE8" w:rsidRPr="002E71D9">
        <w:rPr>
          <w:rFonts w:ascii="Times New Roman" w:hAnsi="Times New Roman"/>
          <w:i/>
          <w:sz w:val="24"/>
          <w:szCs w:val="24"/>
        </w:rPr>
        <w:t xml:space="preserve"> τα αποτελέσματα αυτά προκύπτουν σε μια περίοδο που οι προσδοκίες από τον κλάδο τ</w:t>
      </w:r>
      <w:r w:rsidR="00393C72" w:rsidRPr="002E71D9">
        <w:rPr>
          <w:rFonts w:ascii="Times New Roman" w:hAnsi="Times New Roman"/>
          <w:i/>
          <w:sz w:val="24"/>
          <w:szCs w:val="24"/>
        </w:rPr>
        <w:t>ου τουρισμού ήταν μεγάλες. Δυστυχώς</w:t>
      </w:r>
      <w:r w:rsidR="00B572EF">
        <w:rPr>
          <w:rFonts w:ascii="Times New Roman" w:hAnsi="Times New Roman"/>
          <w:i/>
          <w:sz w:val="24"/>
          <w:szCs w:val="24"/>
        </w:rPr>
        <w:t>,</w:t>
      </w:r>
      <w:r w:rsidR="00393C72" w:rsidRPr="002E71D9">
        <w:rPr>
          <w:rFonts w:ascii="Times New Roman" w:hAnsi="Times New Roman"/>
          <w:i/>
          <w:sz w:val="24"/>
          <w:szCs w:val="24"/>
        </w:rPr>
        <w:t xml:space="preserve"> </w:t>
      </w:r>
      <w:r w:rsidR="00B572EF">
        <w:rPr>
          <w:rFonts w:ascii="Times New Roman" w:hAnsi="Times New Roman"/>
          <w:i/>
          <w:sz w:val="24"/>
          <w:szCs w:val="24"/>
        </w:rPr>
        <w:t>όμως,</w:t>
      </w:r>
      <w:r w:rsidR="00393C72" w:rsidRPr="002E71D9">
        <w:rPr>
          <w:rFonts w:ascii="Times New Roman" w:hAnsi="Times New Roman"/>
          <w:i/>
          <w:sz w:val="24"/>
          <w:szCs w:val="24"/>
        </w:rPr>
        <w:t xml:space="preserve"> δεν</w:t>
      </w:r>
      <w:r w:rsidR="00010FE8" w:rsidRPr="002E71D9">
        <w:rPr>
          <w:rFonts w:ascii="Times New Roman" w:hAnsi="Times New Roman"/>
          <w:i/>
          <w:sz w:val="24"/>
          <w:szCs w:val="24"/>
        </w:rPr>
        <w:t xml:space="preserve"> </w:t>
      </w:r>
      <w:r w:rsidR="00393C72" w:rsidRPr="002E71D9">
        <w:rPr>
          <w:rFonts w:ascii="Times New Roman" w:hAnsi="Times New Roman"/>
          <w:i/>
          <w:sz w:val="24"/>
          <w:szCs w:val="24"/>
        </w:rPr>
        <w:t>επιβεβαιώθηκαν</w:t>
      </w:r>
      <w:r w:rsidR="00A00BDE">
        <w:rPr>
          <w:rFonts w:ascii="Times New Roman" w:hAnsi="Times New Roman"/>
          <w:i/>
          <w:sz w:val="24"/>
          <w:szCs w:val="24"/>
        </w:rPr>
        <w:t>,</w:t>
      </w:r>
      <w:r w:rsidR="00B572EF">
        <w:rPr>
          <w:rFonts w:ascii="Times New Roman" w:hAnsi="Times New Roman"/>
          <w:i/>
          <w:sz w:val="24"/>
          <w:szCs w:val="24"/>
        </w:rPr>
        <w:t xml:space="preserve"> </w:t>
      </w:r>
      <w:r w:rsidR="00FF54FB">
        <w:rPr>
          <w:rFonts w:ascii="Times New Roman" w:hAnsi="Times New Roman"/>
          <w:i/>
          <w:sz w:val="24"/>
          <w:szCs w:val="24"/>
        </w:rPr>
        <w:t>ενώ ο μύθος της Κυριακής κατέρρευσε.</w:t>
      </w:r>
      <w:r w:rsidR="00010FE8" w:rsidRPr="002E71D9">
        <w:rPr>
          <w:rFonts w:ascii="Times New Roman" w:hAnsi="Times New Roman"/>
          <w:i/>
          <w:sz w:val="24"/>
          <w:szCs w:val="24"/>
        </w:rPr>
        <w:t xml:space="preserve"> Η ΕΣΕΕ εξετάζει τι ισχύει σε σχέση με το θεσμό των εκπτώσεων σε άλλες ευρωπαϊκές χώρες και θα προτείνει τις αλλαγές που έχει ανάγκη η ελληνική αγορά</w:t>
      </w:r>
      <w:r w:rsidR="002E71D9" w:rsidRPr="002E71D9">
        <w:rPr>
          <w:rFonts w:ascii="Times New Roman" w:hAnsi="Times New Roman"/>
          <w:i/>
          <w:sz w:val="24"/>
          <w:szCs w:val="24"/>
        </w:rPr>
        <w:t xml:space="preserve">, σύμφωνα με την ανάλυση της </w:t>
      </w:r>
      <w:r w:rsidR="002E71D9">
        <w:rPr>
          <w:rFonts w:ascii="Times New Roman" w:hAnsi="Times New Roman"/>
          <w:i/>
          <w:sz w:val="24"/>
          <w:szCs w:val="24"/>
          <w:lang w:val="en-US"/>
        </w:rPr>
        <w:t>Euro</w:t>
      </w:r>
      <w:r w:rsidR="002E71D9" w:rsidRPr="002E71D9">
        <w:rPr>
          <w:rFonts w:ascii="Times New Roman" w:hAnsi="Times New Roman"/>
          <w:i/>
          <w:sz w:val="24"/>
          <w:szCs w:val="24"/>
          <w:lang w:val="en-US"/>
        </w:rPr>
        <w:t>commerce</w:t>
      </w:r>
      <w:r w:rsidR="00010FE8" w:rsidRPr="002E71D9">
        <w:rPr>
          <w:rFonts w:ascii="Times New Roman" w:hAnsi="Times New Roman"/>
          <w:sz w:val="24"/>
          <w:szCs w:val="24"/>
        </w:rPr>
        <w:t>»</w:t>
      </w:r>
      <w:r w:rsidR="00393C72" w:rsidRPr="002E71D9">
        <w:rPr>
          <w:rFonts w:ascii="Times New Roman" w:hAnsi="Times New Roman"/>
          <w:sz w:val="24"/>
          <w:szCs w:val="24"/>
        </w:rPr>
        <w:t>.</w:t>
      </w:r>
    </w:p>
    <w:sectPr w:rsidR="00EA49FF" w:rsidRPr="002E71D9" w:rsidSect="00A00BDE">
      <w:footerReference w:type="default" r:id="rId19"/>
      <w:pgSz w:w="11906" w:h="16838"/>
      <w:pgMar w:top="993" w:right="1800" w:bottom="42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BE6" w:rsidRDefault="00593BE6" w:rsidP="00615E6C">
      <w:pPr>
        <w:spacing w:after="0" w:line="240" w:lineRule="auto"/>
      </w:pPr>
      <w:r>
        <w:separator/>
      </w:r>
    </w:p>
  </w:endnote>
  <w:endnote w:type="continuationSeparator" w:id="0">
    <w:p w:rsidR="00593BE6" w:rsidRDefault="00593BE6" w:rsidP="00615E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onsolas">
    <w:panose1 w:val="020B0609020204030204"/>
    <w:charset w:val="A1"/>
    <w:family w:val="modern"/>
    <w:pitch w:val="fixed"/>
    <w:sig w:usb0="E10002FF" w:usb1="4000F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568329"/>
      <w:docPartObj>
        <w:docPartGallery w:val="Page Numbers (Bottom of Page)"/>
        <w:docPartUnique/>
      </w:docPartObj>
    </w:sdtPr>
    <w:sdtContent>
      <w:p w:rsidR="00010FE8" w:rsidRDefault="00014F8B">
        <w:pPr>
          <w:pStyle w:val="a7"/>
          <w:jc w:val="right"/>
        </w:pPr>
        <w:fldSimple w:instr=" PAGE   \* MERGEFORMAT ">
          <w:r w:rsidR="006765DF">
            <w:rPr>
              <w:noProof/>
            </w:rPr>
            <w:t>10</w:t>
          </w:r>
        </w:fldSimple>
      </w:p>
    </w:sdtContent>
  </w:sdt>
  <w:p w:rsidR="00010FE8" w:rsidRDefault="00010FE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BE6" w:rsidRDefault="00593BE6" w:rsidP="00615E6C">
      <w:pPr>
        <w:spacing w:after="0" w:line="240" w:lineRule="auto"/>
      </w:pPr>
      <w:r>
        <w:separator/>
      </w:r>
    </w:p>
  </w:footnote>
  <w:footnote w:type="continuationSeparator" w:id="0">
    <w:p w:rsidR="00593BE6" w:rsidRDefault="00593BE6" w:rsidP="00615E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F6C"/>
    <w:multiLevelType w:val="hybridMultilevel"/>
    <w:tmpl w:val="87D0C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0075D"/>
    <w:multiLevelType w:val="hybridMultilevel"/>
    <w:tmpl w:val="68249C7C"/>
    <w:lvl w:ilvl="0" w:tplc="0408000F">
      <w:start w:val="1"/>
      <w:numFmt w:val="decimal"/>
      <w:lvlText w:val="%1."/>
      <w:lvlJc w:val="left"/>
      <w:pPr>
        <w:ind w:left="785"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332F7"/>
    <w:rsid w:val="00010FE8"/>
    <w:rsid w:val="00014F8B"/>
    <w:rsid w:val="000332F7"/>
    <w:rsid w:val="00033D86"/>
    <w:rsid w:val="000D5D8E"/>
    <w:rsid w:val="00102F93"/>
    <w:rsid w:val="00105B2C"/>
    <w:rsid w:val="0010619E"/>
    <w:rsid w:val="00134491"/>
    <w:rsid w:val="00147CDD"/>
    <w:rsid w:val="001609D9"/>
    <w:rsid w:val="00186B5E"/>
    <w:rsid w:val="001B55E9"/>
    <w:rsid w:val="001E43D9"/>
    <w:rsid w:val="002473A2"/>
    <w:rsid w:val="002B42E6"/>
    <w:rsid w:val="002E71D9"/>
    <w:rsid w:val="00333F0B"/>
    <w:rsid w:val="003707FA"/>
    <w:rsid w:val="00393C72"/>
    <w:rsid w:val="003C5A51"/>
    <w:rsid w:val="003F1404"/>
    <w:rsid w:val="003F19A6"/>
    <w:rsid w:val="003F6A5D"/>
    <w:rsid w:val="00400BAE"/>
    <w:rsid w:val="0041542D"/>
    <w:rsid w:val="00417190"/>
    <w:rsid w:val="004E4BAB"/>
    <w:rsid w:val="005058DF"/>
    <w:rsid w:val="0053179E"/>
    <w:rsid w:val="00542553"/>
    <w:rsid w:val="00593BE6"/>
    <w:rsid w:val="005B58DA"/>
    <w:rsid w:val="005D31DD"/>
    <w:rsid w:val="005D47E9"/>
    <w:rsid w:val="005D5AD1"/>
    <w:rsid w:val="00615E6C"/>
    <w:rsid w:val="00620969"/>
    <w:rsid w:val="00632E54"/>
    <w:rsid w:val="006765DF"/>
    <w:rsid w:val="00683E9D"/>
    <w:rsid w:val="006C37DB"/>
    <w:rsid w:val="006D4C8E"/>
    <w:rsid w:val="006F648A"/>
    <w:rsid w:val="0072235B"/>
    <w:rsid w:val="00737908"/>
    <w:rsid w:val="00792F29"/>
    <w:rsid w:val="007C5B5F"/>
    <w:rsid w:val="007E01EA"/>
    <w:rsid w:val="008346A8"/>
    <w:rsid w:val="008D1927"/>
    <w:rsid w:val="009372A5"/>
    <w:rsid w:val="009529C3"/>
    <w:rsid w:val="00982E4E"/>
    <w:rsid w:val="009836D8"/>
    <w:rsid w:val="00A00BDE"/>
    <w:rsid w:val="00A4512C"/>
    <w:rsid w:val="00A56748"/>
    <w:rsid w:val="00A87D30"/>
    <w:rsid w:val="00AA12B0"/>
    <w:rsid w:val="00AA2BA4"/>
    <w:rsid w:val="00AB2D31"/>
    <w:rsid w:val="00AC7B77"/>
    <w:rsid w:val="00B30C0D"/>
    <w:rsid w:val="00B3779B"/>
    <w:rsid w:val="00B41615"/>
    <w:rsid w:val="00B4582D"/>
    <w:rsid w:val="00B47FCD"/>
    <w:rsid w:val="00B572EF"/>
    <w:rsid w:val="00B62EE8"/>
    <w:rsid w:val="00B74045"/>
    <w:rsid w:val="00BB0E40"/>
    <w:rsid w:val="00BC5BAA"/>
    <w:rsid w:val="00BD47D0"/>
    <w:rsid w:val="00C20FA1"/>
    <w:rsid w:val="00C6564A"/>
    <w:rsid w:val="00CB0B05"/>
    <w:rsid w:val="00D05B07"/>
    <w:rsid w:val="00D142FE"/>
    <w:rsid w:val="00D506A7"/>
    <w:rsid w:val="00D945F7"/>
    <w:rsid w:val="00E33D59"/>
    <w:rsid w:val="00E46926"/>
    <w:rsid w:val="00EA49FF"/>
    <w:rsid w:val="00ED069A"/>
    <w:rsid w:val="00ED59CD"/>
    <w:rsid w:val="00EF710D"/>
    <w:rsid w:val="00F25D53"/>
    <w:rsid w:val="00FC38ED"/>
    <w:rsid w:val="00FD5226"/>
    <w:rsid w:val="00FF54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4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3C5A51"/>
    <w:pPr>
      <w:spacing w:after="0" w:line="240" w:lineRule="auto"/>
    </w:pPr>
    <w:rPr>
      <w:rFonts w:ascii="Consolas" w:hAnsi="Consolas"/>
      <w:sz w:val="21"/>
      <w:szCs w:val="21"/>
    </w:rPr>
  </w:style>
  <w:style w:type="character" w:customStyle="1" w:styleId="Char">
    <w:name w:val="Απλό κείμενο Char"/>
    <w:basedOn w:val="a0"/>
    <w:link w:val="a3"/>
    <w:uiPriority w:val="99"/>
    <w:rsid w:val="003C5A51"/>
    <w:rPr>
      <w:rFonts w:ascii="Consolas" w:hAnsi="Consolas"/>
      <w:sz w:val="21"/>
      <w:szCs w:val="21"/>
    </w:rPr>
  </w:style>
  <w:style w:type="paragraph" w:styleId="a4">
    <w:name w:val="Balloon Text"/>
    <w:basedOn w:val="a"/>
    <w:link w:val="Char0"/>
    <w:uiPriority w:val="99"/>
    <w:semiHidden/>
    <w:unhideWhenUsed/>
    <w:rsid w:val="00EF710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EF710D"/>
    <w:rPr>
      <w:rFonts w:ascii="Tahoma" w:hAnsi="Tahoma" w:cs="Tahoma"/>
      <w:sz w:val="16"/>
      <w:szCs w:val="16"/>
    </w:rPr>
  </w:style>
  <w:style w:type="table" w:styleId="a5">
    <w:name w:val="Table Grid"/>
    <w:basedOn w:val="a1"/>
    <w:uiPriority w:val="59"/>
    <w:rsid w:val="00683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1"/>
    <w:uiPriority w:val="99"/>
    <w:semiHidden/>
    <w:unhideWhenUsed/>
    <w:rsid w:val="00615E6C"/>
    <w:pPr>
      <w:tabs>
        <w:tab w:val="center" w:pos="4153"/>
        <w:tab w:val="right" w:pos="8306"/>
      </w:tabs>
      <w:spacing w:after="0" w:line="240" w:lineRule="auto"/>
    </w:pPr>
  </w:style>
  <w:style w:type="character" w:customStyle="1" w:styleId="Char1">
    <w:name w:val="Κεφαλίδα Char"/>
    <w:basedOn w:val="a0"/>
    <w:link w:val="a6"/>
    <w:uiPriority w:val="99"/>
    <w:semiHidden/>
    <w:rsid w:val="00615E6C"/>
  </w:style>
  <w:style w:type="paragraph" w:styleId="a7">
    <w:name w:val="footer"/>
    <w:basedOn w:val="a"/>
    <w:link w:val="Char2"/>
    <w:uiPriority w:val="99"/>
    <w:unhideWhenUsed/>
    <w:rsid w:val="00615E6C"/>
    <w:pPr>
      <w:tabs>
        <w:tab w:val="center" w:pos="4153"/>
        <w:tab w:val="right" w:pos="8306"/>
      </w:tabs>
      <w:spacing w:after="0" w:line="240" w:lineRule="auto"/>
    </w:pPr>
  </w:style>
  <w:style w:type="character" w:customStyle="1" w:styleId="Char2">
    <w:name w:val="Υποσέλιδο Char"/>
    <w:basedOn w:val="a0"/>
    <w:link w:val="a7"/>
    <w:uiPriority w:val="99"/>
    <w:rsid w:val="00615E6C"/>
  </w:style>
  <w:style w:type="table" w:styleId="-5">
    <w:name w:val="Light List Accent 5"/>
    <w:basedOn w:val="a1"/>
    <w:uiPriority w:val="61"/>
    <w:rsid w:val="00615E6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8">
    <w:name w:val="List Paragraph"/>
    <w:basedOn w:val="a"/>
    <w:uiPriority w:val="34"/>
    <w:qFormat/>
    <w:rsid w:val="00615E6C"/>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stark\departments\ine.db\&#924;&#917;&#923;&#917;&#932;&#917;&#931;_&#917;&#929;&#917;&#933;&#925;&#917;&#931;\&#917;&#928;&#927;&#935;&#921;&#922;&#917;&#931;\&#917;&#922;&#928;&#932;&#937;&#931;&#917;&#921;&#931;\&#920;&#917;&#929;&#921;&#925;&#917;&#931;\2014\&#932;&#949;&#955;&#953;&#954;&#945;%20&#945;&#960;&#959;&#964;&#949;&#955;&#949;&#963;&#956;&#945;&#964;&#945;%20&#952;&#949;&#961;&#953;&#957;&#969;&#957;%20&#949;&#954;&#960;&#964;&#969;&#963;&#949;&#969;&#957;%20&#945;&#960;&#959;%20&#954;&#945;&#964;&#945;&#963;&#964;&#951;&#956;&#945;&#964;&#945;_24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tark\departments\ine.db\&#924;&#917;&#923;&#917;&#932;&#917;&#931;_&#917;&#929;&#917;&#933;&#925;&#917;&#931;\&#917;&#928;&#927;&#935;&#921;&#922;&#917;&#931;\&#917;&#922;&#928;&#932;&#937;&#931;&#917;&#921;&#931;\&#920;&#917;&#929;&#921;&#925;&#917;&#931;\2014\&#932;&#949;&#955;&#953;&#954;&#945;%20&#945;&#960;&#959;&#964;&#949;&#955;&#949;&#963;&#956;&#945;&#964;&#945;%20&#952;&#949;&#961;&#953;&#957;&#969;&#957;%20&#949;&#954;&#960;&#964;&#969;&#963;&#949;&#969;&#957;%20&#945;&#960;&#959;%20&#954;&#945;&#964;&#945;&#963;&#964;&#951;&#956;&#945;&#964;&#945;_24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tark\departments\ine.db\&#924;&#917;&#923;&#917;&#932;&#917;&#931;_&#917;&#929;&#917;&#933;&#925;&#917;&#931;\&#917;&#928;&#927;&#935;&#921;&#922;&#917;&#931;\&#917;&#922;&#928;&#932;&#937;&#931;&#917;&#921;&#931;\&#920;&#917;&#929;&#921;&#925;&#917;&#931;\2014\&#932;&#949;&#955;&#953;&#954;&#945;%20&#945;&#960;&#959;&#964;&#949;&#955;&#949;&#963;&#956;&#945;&#964;&#945;%20&#952;&#949;&#961;&#953;&#957;&#969;&#957;%20&#949;&#954;&#960;&#964;&#969;&#963;&#949;&#969;&#957;%20&#945;&#960;&#959;%20&#954;&#945;&#964;&#945;&#963;&#964;&#951;&#956;&#945;&#964;&#945;_24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tark\departments\ine.db\&#924;&#917;&#923;&#917;&#932;&#917;&#931;_&#917;&#929;&#917;&#933;&#925;&#917;&#931;\&#917;&#928;&#927;&#935;&#921;&#922;&#917;&#931;\&#917;&#922;&#928;&#932;&#937;&#931;&#917;&#921;&#931;\&#920;&#917;&#929;&#921;&#925;&#917;&#931;\2014\&#932;&#949;&#955;&#953;&#954;&#945;%20&#945;&#960;&#959;&#964;&#949;&#955;&#949;&#963;&#956;&#945;&#964;&#945;%20&#952;&#949;&#961;&#953;&#957;&#969;&#957;%20&#949;&#954;&#960;&#964;&#969;&#963;&#949;&#969;&#957;%20&#945;&#960;&#959;%20&#954;&#945;&#964;&#945;&#963;&#964;&#951;&#956;&#945;&#964;&#945;_24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tark\departments\ine.db\&#924;&#917;&#923;&#917;&#932;&#917;&#931;_&#917;&#929;&#917;&#933;&#925;&#917;&#931;\&#917;&#928;&#927;&#935;&#921;&#922;&#917;&#931;\&#917;&#922;&#928;&#932;&#937;&#931;&#917;&#921;&#931;\&#920;&#917;&#929;&#921;&#925;&#917;&#931;\2014\&#932;&#949;&#955;&#953;&#954;&#945;%20&#945;&#960;&#959;&#964;&#949;&#955;&#949;&#963;&#956;&#945;&#964;&#945;%20&#952;&#949;&#961;&#953;&#957;&#969;&#957;%20&#949;&#954;&#960;&#964;&#969;&#963;&#949;&#969;&#957;%20&#945;&#960;&#959;%20&#954;&#945;&#964;&#945;&#963;&#964;&#951;&#956;&#945;&#964;&#945;_24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sz="1400" baseline="0"/>
            </a:pPr>
            <a:r>
              <a:rPr lang="el-GR" sz="1400" b="1" i="0" baseline="0"/>
              <a:t>Σύγκριση των εσόδων του Αυγούστου με τον ίδιο μήνα του προηγούμενου έτους</a:t>
            </a:r>
            <a:endParaRPr lang="en-GB" sz="1400" baseline="0"/>
          </a:p>
        </c:rich>
      </c:tx>
    </c:title>
    <c:view3D>
      <c:rotX val="30"/>
      <c:perspective val="30"/>
    </c:view3D>
    <c:plotArea>
      <c:layout>
        <c:manualLayout>
          <c:layoutTarget val="inner"/>
          <c:xMode val="edge"/>
          <c:yMode val="edge"/>
          <c:x val="8.2460504666523132E-2"/>
          <c:y val="0.31472980662583788"/>
          <c:w val="0.61273571425203965"/>
          <c:h val="0.58209885711530129"/>
        </c:manualLayout>
      </c:layout>
      <c:pie3DChart>
        <c:varyColors val="1"/>
        <c:ser>
          <c:idx val="0"/>
          <c:order val="0"/>
          <c:explosion val="25"/>
          <c:dLbls>
            <c:showVal val="1"/>
            <c:showLeaderLines val="1"/>
          </c:dLbls>
          <c:cat>
            <c:strRef>
              <c:f>Φύλλο1!$A$101:$A$103</c:f>
              <c:strCache>
                <c:ptCount val="3"/>
                <c:pt idx="0">
                  <c:v>Μεγαλύτερα  </c:v>
                </c:pt>
                <c:pt idx="1">
                  <c:v>Μικρότερα </c:v>
                </c:pt>
                <c:pt idx="2">
                  <c:v>Τα ίδια </c:v>
                </c:pt>
              </c:strCache>
            </c:strRef>
          </c:cat>
          <c:val>
            <c:numRef>
              <c:f>Φύλλο1!$B$101:$B$103</c:f>
              <c:numCache>
                <c:formatCode>0.0%</c:formatCode>
                <c:ptCount val="3"/>
                <c:pt idx="0">
                  <c:v>0.13445378151260523</c:v>
                </c:pt>
                <c:pt idx="1">
                  <c:v>0.53361344537815125</c:v>
                </c:pt>
                <c:pt idx="2">
                  <c:v>0.33193277310924452</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l-GR"/>
  <c:chart>
    <c:title>
      <c:tx>
        <c:rich>
          <a:bodyPr/>
          <a:lstStyle/>
          <a:p>
            <a:pPr>
              <a:defRPr sz="1400" baseline="0"/>
            </a:pPr>
            <a:r>
              <a:rPr lang="el-GR" sz="1400" b="1" i="0" baseline="0"/>
              <a:t>Σύγκριση του αριθμού των απασχολούμενων με τον προηγούμενο χρόνο </a:t>
            </a:r>
          </a:p>
        </c:rich>
      </c:tx>
    </c:title>
    <c:view3D>
      <c:rotX val="30"/>
      <c:perspective val="30"/>
    </c:view3D>
    <c:plotArea>
      <c:layout/>
      <c:pie3DChart>
        <c:varyColors val="1"/>
        <c:ser>
          <c:idx val="0"/>
          <c:order val="0"/>
          <c:explosion val="25"/>
          <c:dLbls>
            <c:showVal val="1"/>
            <c:showLeaderLines val="1"/>
          </c:dLbls>
          <c:cat>
            <c:strRef>
              <c:f>Φύλλο1!$A$112:$A$114</c:f>
              <c:strCache>
                <c:ptCount val="3"/>
                <c:pt idx="0">
                  <c:v>Έχουν αυξηθεί  </c:v>
                </c:pt>
                <c:pt idx="1">
                  <c:v>Έχουν μειωθεί  </c:v>
                </c:pt>
                <c:pt idx="2">
                  <c:v>Παραμένουν οι ίδιοι  </c:v>
                </c:pt>
              </c:strCache>
            </c:strRef>
          </c:cat>
          <c:val>
            <c:numRef>
              <c:f>Φύλλο1!$B$112:$B$114</c:f>
              <c:numCache>
                <c:formatCode>0.0%</c:formatCode>
                <c:ptCount val="3"/>
                <c:pt idx="0">
                  <c:v>4.5454545454545463E-2</c:v>
                </c:pt>
                <c:pt idx="1">
                  <c:v>0.16115702479338828</c:v>
                </c:pt>
                <c:pt idx="2">
                  <c:v>0.79338842975206525</c:v>
                </c:pt>
              </c:numCache>
            </c:numRef>
          </c:val>
        </c:ser>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l-GR"/>
  <c:chart>
    <c:title>
      <c:tx>
        <c:rich>
          <a:bodyPr/>
          <a:lstStyle/>
          <a:p>
            <a:pPr>
              <a:defRPr sz="1400" baseline="0"/>
            </a:pPr>
            <a:r>
              <a:rPr lang="el-GR" sz="1400" b="1" i="0" baseline="0"/>
              <a:t>Αν έχουν προσλάβει υπάλληλο για τις Κυριακές </a:t>
            </a:r>
          </a:p>
        </c:rich>
      </c:tx>
    </c:title>
    <c:view3D>
      <c:rotX val="30"/>
      <c:perspective val="30"/>
    </c:view3D>
    <c:plotArea>
      <c:layout/>
      <c:pie3DChart>
        <c:varyColors val="1"/>
        <c:ser>
          <c:idx val="0"/>
          <c:order val="0"/>
          <c:explosion val="25"/>
          <c:dLbls>
            <c:showVal val="1"/>
            <c:showLeaderLines val="1"/>
          </c:dLbls>
          <c:cat>
            <c:strRef>
              <c:f>Φύλλο1!$A$122:$A$124</c:f>
              <c:strCache>
                <c:ptCount val="3"/>
                <c:pt idx="0">
                  <c:v>Ναι, έχω προσλάβει ήδη υπάλληλο για τις Κυριακές </c:v>
                </c:pt>
                <c:pt idx="1">
                  <c:v>Όχι και δεν σκοπεύω να προσλάβω ούτε στο μέλλον </c:v>
                </c:pt>
                <c:pt idx="2">
                  <c:v>Όχι, αλλά σκοπεύω να προσλάβω στο μέλλον </c:v>
                </c:pt>
              </c:strCache>
            </c:strRef>
          </c:cat>
          <c:val>
            <c:numRef>
              <c:f>Φύλλο1!$B$122:$B$124</c:f>
              <c:numCache>
                <c:formatCode>0.0%</c:formatCode>
                <c:ptCount val="3"/>
                <c:pt idx="0">
                  <c:v>0</c:v>
                </c:pt>
                <c:pt idx="1">
                  <c:v>0.75000000000000056</c:v>
                </c:pt>
                <c:pt idx="2">
                  <c:v>0.25</c:v>
                </c:pt>
              </c:numCache>
            </c:numRef>
          </c:val>
        </c:ser>
      </c:pie3D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lgn="ctr">
              <a:defRPr sz="1400" baseline="0"/>
            </a:pPr>
            <a:r>
              <a:rPr lang="el-GR" sz="1400" b="1" i="0" baseline="0"/>
              <a:t>Αν το άνοιγμα των Κυριακών έχει επιβαρύνει σημαντικά το λειτουργικό κόστος της επιχείρησης </a:t>
            </a:r>
          </a:p>
        </c:rich>
      </c:tx>
    </c:title>
    <c:view3D>
      <c:rotX val="30"/>
      <c:perspective val="30"/>
    </c:view3D>
    <c:plotArea>
      <c:layout/>
      <c:pie3DChart>
        <c:varyColors val="1"/>
        <c:ser>
          <c:idx val="0"/>
          <c:order val="0"/>
          <c:explosion val="25"/>
          <c:dLbls>
            <c:showVal val="1"/>
            <c:showLeaderLines val="1"/>
          </c:dLbls>
          <c:cat>
            <c:strRef>
              <c:f>Φύλλο1!$A$133:$A$135</c:f>
              <c:strCache>
                <c:ptCount val="3"/>
                <c:pt idx="0">
                  <c:v>Ναι</c:v>
                </c:pt>
                <c:pt idx="1">
                  <c:v>Όχι</c:v>
                </c:pt>
                <c:pt idx="2">
                  <c:v>ΔΓ/ΔΑ</c:v>
                </c:pt>
              </c:strCache>
            </c:strRef>
          </c:cat>
          <c:val>
            <c:numRef>
              <c:f>Φύλλο1!$B$133:$B$135</c:f>
              <c:numCache>
                <c:formatCode>0.0%</c:formatCode>
                <c:ptCount val="3"/>
                <c:pt idx="0">
                  <c:v>0.73831775700934577</c:v>
                </c:pt>
                <c:pt idx="1">
                  <c:v>0.23364485981308411</c:v>
                </c:pt>
                <c:pt idx="2">
                  <c:v>2.8037383177570138E-2</c:v>
                </c:pt>
              </c:numCache>
            </c:numRef>
          </c:val>
        </c:ser>
      </c:pie3D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sz="1400" baseline="0"/>
            </a:pPr>
            <a:r>
              <a:rPr lang="el-GR" sz="1400" b="1" i="0" baseline="0"/>
              <a:t>Αν το άνοιγμα των Κυριακών έχει συμβάλλει στην αύξηση της επισκεψιμότητας</a:t>
            </a:r>
          </a:p>
        </c:rich>
      </c:tx>
    </c:title>
    <c:view3D>
      <c:rotX val="30"/>
      <c:perspective val="30"/>
    </c:view3D>
    <c:plotArea>
      <c:layout/>
      <c:pie3DChart>
        <c:varyColors val="1"/>
        <c:ser>
          <c:idx val="0"/>
          <c:order val="0"/>
          <c:explosion val="25"/>
          <c:dLbls>
            <c:showVal val="1"/>
            <c:showLeaderLines val="1"/>
          </c:dLbls>
          <c:cat>
            <c:strRef>
              <c:f>Φύλλο1!$A$146:$A$148</c:f>
              <c:strCache>
                <c:ptCount val="3"/>
                <c:pt idx="0">
                  <c:v>Ναι</c:v>
                </c:pt>
                <c:pt idx="1">
                  <c:v>Όχι</c:v>
                </c:pt>
                <c:pt idx="2">
                  <c:v>ΔΓ/ΔΑ</c:v>
                </c:pt>
              </c:strCache>
            </c:strRef>
          </c:cat>
          <c:val>
            <c:numRef>
              <c:f>Φύλλο1!$B$146:$B$148</c:f>
              <c:numCache>
                <c:formatCode>0.0%</c:formatCode>
                <c:ptCount val="3"/>
                <c:pt idx="0">
                  <c:v>9.4339622641509524E-2</c:v>
                </c:pt>
                <c:pt idx="1">
                  <c:v>0.88679245283018926</c:v>
                </c:pt>
                <c:pt idx="2">
                  <c:v>1.8867924528301886E-2</c:v>
                </c:pt>
              </c:numCache>
            </c:numRef>
          </c:val>
        </c:ser>
      </c:pie3DChart>
    </c:plotArea>
    <c:legend>
      <c:legendPos val="r"/>
    </c:legend>
    <c:plotVisOnly val="1"/>
  </c:chart>
  <c:externalData r:id="rId1"/>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B5145-B35B-4D5F-9B5F-273404AA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1801</Words>
  <Characters>9730</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kfilippou</dc:creator>
  <cp:lastModifiedBy>kfilippou</cp:lastModifiedBy>
  <cp:revision>9</cp:revision>
  <cp:lastPrinted>2014-09-03T07:41:00Z</cp:lastPrinted>
  <dcterms:created xsi:type="dcterms:W3CDTF">2014-09-04T07:42:00Z</dcterms:created>
  <dcterms:modified xsi:type="dcterms:W3CDTF">2014-09-04T08:13:00Z</dcterms:modified>
</cp:coreProperties>
</file>